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58" w:rsidRPr="00CC1958" w:rsidRDefault="00CC1958" w:rsidP="00CC1958">
      <w:pPr>
        <w:spacing w:before="100" w:beforeAutospacing="1" w:after="100" w:afterAutospacing="1" w:line="240" w:lineRule="auto"/>
        <w:jc w:val="center"/>
        <w:rPr>
          <w:rFonts w:ascii="Arial" w:eastAsia="Times New Roman" w:hAnsi="Arial" w:cs="Arial"/>
          <w:color w:val="000000"/>
          <w:sz w:val="18"/>
          <w:szCs w:val="18"/>
        </w:rPr>
      </w:pPr>
      <w:r w:rsidRPr="00CC1958">
        <w:rPr>
          <w:rFonts w:ascii="Arial" w:eastAsia="Times New Roman" w:hAnsi="Arial" w:cs="Arial"/>
          <w:b/>
          <w:bCs/>
          <w:color w:val="000000"/>
          <w:sz w:val="36"/>
          <w:szCs w:val="36"/>
        </w:rPr>
        <w:t>Nexus</w:t>
      </w:r>
    </w:p>
    <w:p w:rsidR="00CC1958" w:rsidRPr="00CC1958" w:rsidRDefault="00CC1958" w:rsidP="00CC1958">
      <w:pPr>
        <w:spacing w:before="100" w:beforeAutospacing="1" w:after="100" w:afterAutospacing="1" w:line="240" w:lineRule="auto"/>
        <w:rPr>
          <w:rFonts w:ascii="Arial" w:eastAsia="Times New Roman" w:hAnsi="Arial" w:cs="Arial"/>
          <w:color w:val="000000"/>
          <w:sz w:val="18"/>
          <w:szCs w:val="18"/>
        </w:rPr>
      </w:pPr>
      <w:bookmarkStart w:id="0" w:name="overview"/>
      <w:bookmarkEnd w:id="0"/>
      <w:r w:rsidRPr="00CC1958">
        <w:rPr>
          <w:rFonts w:ascii="Arial" w:eastAsia="Times New Roman" w:hAnsi="Arial" w:cs="Arial"/>
          <w:b/>
          <w:bCs/>
          <w:color w:val="000000"/>
          <w:sz w:val="27"/>
          <w:szCs w:val="27"/>
        </w:rPr>
        <w:t>Overview</w:t>
      </w:r>
    </w:p>
    <w:p w:rsidR="00CC1958" w:rsidRPr="00CC1958" w:rsidRDefault="00CC1958" w:rsidP="00CC1958">
      <w:pPr>
        <w:spacing w:before="100" w:beforeAutospacing="1" w:after="100" w:afterAutospacing="1" w:line="240" w:lineRule="auto"/>
        <w:rPr>
          <w:rFonts w:ascii="Arial" w:eastAsia="Times New Roman" w:hAnsi="Arial" w:cs="Arial"/>
          <w:color w:val="000000"/>
          <w:sz w:val="18"/>
          <w:szCs w:val="18"/>
        </w:rPr>
      </w:pPr>
      <w:r w:rsidRPr="00CC1958">
        <w:rPr>
          <w:rFonts w:ascii="Arial" w:eastAsia="Times New Roman" w:hAnsi="Arial" w:cs="Arial"/>
          <w:color w:val="000000"/>
          <w:sz w:val="20"/>
          <w:szCs w:val="20"/>
        </w:rPr>
        <w:t>The term "nexus" refers to the connection that must exist between conduct or behavior forming the basis for an adverse action and the discernible or foreseeable negative impact the conduct or behavior has on an agency's operations. Nexus comes into play twice in most adverse actions. First, establishing nexus is necessary to prove that the action promotes the efficiency of the service. Second, nexus is often a factor in determining the appropriate penalty for the conduct or behavior.</w:t>
      </w:r>
    </w:p>
    <w:p w:rsidR="00CC1958" w:rsidRDefault="00CC1958" w:rsidP="00CC1958">
      <w:pPr>
        <w:spacing w:before="100" w:beforeAutospacing="1" w:after="100" w:afterAutospacing="1" w:line="240" w:lineRule="auto"/>
        <w:rPr>
          <w:rFonts w:ascii="Arial" w:eastAsia="Times New Roman" w:hAnsi="Arial" w:cs="Arial"/>
          <w:color w:val="000000"/>
          <w:sz w:val="20"/>
          <w:szCs w:val="20"/>
        </w:rPr>
      </w:pPr>
      <w:r w:rsidRPr="00CC1958">
        <w:rPr>
          <w:rFonts w:ascii="Arial" w:eastAsia="Times New Roman" w:hAnsi="Arial" w:cs="Arial"/>
          <w:color w:val="000000"/>
          <w:sz w:val="20"/>
          <w:szCs w:val="20"/>
        </w:rPr>
        <w:t>Sometimes nexus is relatively easy to demonstrate or prove. For example, with offenses such as insubordination or failure to show up for work, the connection between the offense and the adverse impact on the efficiency of the service is clear. But that isn't always the case. When the misconduct occurs off duty and away from work, the nexus is less obvious. However, some off-duty misconduct can be so egregious that the nexus "speaks for itself."</w:t>
      </w:r>
      <w:bookmarkStart w:id="1" w:name="keypoints"/>
      <w:bookmarkEnd w:id="1"/>
    </w:p>
    <w:p w:rsidR="00CC1958" w:rsidRPr="00CC1958" w:rsidRDefault="00CC1958" w:rsidP="00CC1958">
      <w:pPr>
        <w:spacing w:before="100" w:beforeAutospacing="1" w:after="100" w:afterAutospacing="1" w:line="240" w:lineRule="auto"/>
        <w:rPr>
          <w:rFonts w:ascii="Arial" w:eastAsia="Times New Roman" w:hAnsi="Arial" w:cs="Arial"/>
          <w:color w:val="000000"/>
          <w:sz w:val="18"/>
          <w:szCs w:val="18"/>
        </w:rPr>
      </w:pPr>
      <w:r w:rsidRPr="00CC1958">
        <w:rPr>
          <w:rFonts w:ascii="Arial" w:eastAsia="Times New Roman" w:hAnsi="Arial" w:cs="Arial"/>
          <w:b/>
          <w:bCs/>
          <w:color w:val="000000"/>
          <w:sz w:val="27"/>
          <w:szCs w:val="27"/>
        </w:rPr>
        <w:t xml:space="preserve"> Key Points</w:t>
      </w:r>
    </w:p>
    <w:p w:rsidR="00CC1958" w:rsidRPr="00CC1958" w:rsidRDefault="00CC1958" w:rsidP="00CC1958">
      <w:pPr>
        <w:spacing w:before="100" w:beforeAutospacing="1" w:after="100" w:afterAutospacing="1" w:line="240" w:lineRule="auto"/>
        <w:rPr>
          <w:rFonts w:ascii="Arial" w:eastAsia="Times New Roman" w:hAnsi="Arial" w:cs="Arial"/>
          <w:color w:val="000000"/>
          <w:sz w:val="18"/>
          <w:szCs w:val="18"/>
        </w:rPr>
      </w:pPr>
      <w:r w:rsidRPr="00CC1958">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CC1958">
        <w:rPr>
          <w:rFonts w:ascii="Arial" w:eastAsia="Times New Roman" w:hAnsi="Arial" w:cs="Arial"/>
          <w:color w:val="000000"/>
          <w:sz w:val="20"/>
          <w:szCs w:val="20"/>
        </w:rPr>
        <w:t xml:space="preserve"> </w:t>
      </w:r>
      <w:proofErr w:type="spellStart"/>
      <w:r w:rsidRPr="00CC1958">
        <w:rPr>
          <w:rFonts w:ascii="Arial" w:eastAsia="Times New Roman" w:hAnsi="Arial" w:cs="Arial"/>
          <w:b/>
          <w:bCs/>
          <w:i/>
          <w:iCs/>
          <w:color w:val="FF0000"/>
          <w:sz w:val="20"/>
          <w:szCs w:val="20"/>
        </w:rPr>
        <w:t>Broida</w:t>
      </w:r>
      <w:proofErr w:type="spellEnd"/>
      <w:r w:rsidRPr="00CC1958">
        <w:rPr>
          <w:rFonts w:ascii="Arial" w:eastAsia="Times New Roman" w:hAnsi="Arial" w:cs="Arial"/>
          <w:color w:val="0000FF"/>
          <w:sz w:val="20"/>
          <w:szCs w:val="20"/>
        </w:rPr>
        <w:t xml:space="preserve"> in this Quick Start Guide are to federal employment law expert, Peter </w:t>
      </w:r>
      <w:proofErr w:type="spellStart"/>
      <w:r w:rsidRPr="00CC1958">
        <w:rPr>
          <w:rFonts w:ascii="Arial" w:eastAsia="Times New Roman" w:hAnsi="Arial" w:cs="Arial"/>
          <w:color w:val="0000FF"/>
          <w:sz w:val="20"/>
          <w:szCs w:val="20"/>
        </w:rPr>
        <w:t>Broida's</w:t>
      </w:r>
      <w:proofErr w:type="spellEnd"/>
      <w:r w:rsidRPr="00CC1958">
        <w:rPr>
          <w:rFonts w:ascii="Arial" w:eastAsia="Times New Roman" w:hAnsi="Arial" w:cs="Arial"/>
          <w:color w:val="0000FF"/>
          <w:sz w:val="20"/>
          <w:szCs w:val="20"/>
        </w:rPr>
        <w:t xml:space="preserve">, treatise </w:t>
      </w:r>
      <w:r w:rsidRPr="00CC1958">
        <w:rPr>
          <w:rFonts w:ascii="Arial" w:eastAsia="Times New Roman" w:hAnsi="Arial" w:cs="Arial"/>
          <w:i/>
          <w:iCs/>
          <w:color w:val="0000FF"/>
          <w:sz w:val="20"/>
          <w:szCs w:val="20"/>
        </w:rPr>
        <w:t xml:space="preserve">A Guide to Merit Systems Protection Board Law and Practice </w:t>
      </w:r>
      <w:r w:rsidRPr="00CC1958">
        <w:rPr>
          <w:rFonts w:ascii="Arial" w:eastAsia="Times New Roman" w:hAnsi="Arial" w:cs="Arial"/>
          <w:color w:val="0000FF"/>
          <w:sz w:val="20"/>
          <w:szCs w:val="20"/>
        </w:rPr>
        <w:t>(Dewey Publishing, Inc.), to which</w:t>
      </w:r>
      <w:r w:rsidRPr="00CC1958">
        <w:rPr>
          <w:rFonts w:ascii="Arial" w:eastAsia="Times New Roman" w:hAnsi="Arial" w:cs="Arial"/>
          <w:color w:val="000000"/>
          <w:sz w:val="20"/>
          <w:szCs w:val="20"/>
        </w:rPr>
        <w:t xml:space="preserve"> </w:t>
      </w:r>
      <w:proofErr w:type="spellStart"/>
      <w:r w:rsidRPr="00CC1958">
        <w:rPr>
          <w:rFonts w:ascii="Arial" w:eastAsia="Times New Roman" w:hAnsi="Arial" w:cs="Arial"/>
          <w:b/>
          <w:bCs/>
          <w:i/>
          <w:iCs/>
          <w:color w:val="FF0000"/>
          <w:sz w:val="20"/>
          <w:szCs w:val="20"/>
        </w:rPr>
        <w:t>cyber</w:t>
      </w:r>
      <w:r w:rsidRPr="00CC1958">
        <w:rPr>
          <w:rFonts w:ascii="Arial" w:eastAsia="Times New Roman" w:hAnsi="Arial" w:cs="Arial"/>
          <w:b/>
          <w:bCs/>
          <w:color w:val="0000FF"/>
          <w:sz w:val="20"/>
          <w:szCs w:val="20"/>
        </w:rPr>
        <w:t>FEDS</w:t>
      </w:r>
      <w:proofErr w:type="spellEnd"/>
      <w:r w:rsidRPr="00CC1958">
        <w:rPr>
          <w:rFonts w:ascii="Arial" w:eastAsia="Times New Roman" w:hAnsi="Arial" w:cs="Arial"/>
          <w:b/>
          <w:bCs/>
          <w:color w:val="0000FF"/>
          <w:sz w:val="20"/>
          <w:szCs w:val="20"/>
          <w:vertAlign w:val="superscript"/>
        </w:rPr>
        <w:t>®</w:t>
      </w:r>
      <w:r w:rsidRPr="00CC1958">
        <w:rPr>
          <w:rFonts w:ascii="Arial" w:eastAsia="Times New Roman" w:hAnsi="Arial" w:cs="Arial"/>
          <w:b/>
          <w:bCs/>
          <w:color w:val="0000FF"/>
          <w:sz w:val="20"/>
          <w:szCs w:val="20"/>
        </w:rPr>
        <w:t xml:space="preserve"> </w:t>
      </w:r>
      <w:r w:rsidRPr="00CC1958">
        <w:rPr>
          <w:rFonts w:ascii="Arial" w:eastAsia="Times New Roman" w:hAnsi="Arial" w:cs="Arial"/>
          <w:color w:val="0000FF"/>
          <w:sz w:val="20"/>
          <w:szCs w:val="20"/>
        </w:rPr>
        <w:t>has exclusive Web rights.</w:t>
      </w:r>
    </w:p>
    <w:p w:rsidR="00CC1958" w:rsidRPr="00CC1958" w:rsidRDefault="00CC1958" w:rsidP="00CC1958">
      <w:pPr>
        <w:spacing w:before="100" w:beforeAutospacing="1" w:after="100" w:afterAutospacing="1" w:line="240" w:lineRule="auto"/>
        <w:rPr>
          <w:rFonts w:ascii="Times New Roman" w:eastAsia="Times New Roman" w:hAnsi="Times New Roman" w:cs="Times New Roman"/>
          <w:color w:val="000000"/>
          <w:sz w:val="24"/>
          <w:szCs w:val="24"/>
        </w:rPr>
      </w:pPr>
      <w:bookmarkStart w:id="2" w:name="Establishing_nexus_in_general"/>
      <w:r w:rsidRPr="00CC1958">
        <w:rPr>
          <w:rFonts w:ascii="Arial" w:eastAsia="Times New Roman" w:hAnsi="Arial" w:cs="Arial"/>
          <w:b/>
          <w:bCs/>
          <w:color w:val="000000"/>
          <w:sz w:val="20"/>
          <w:szCs w:val="20"/>
        </w:rPr>
        <w:t>Establishing nexus -- in general</w:t>
      </w:r>
      <w:bookmarkEnd w:id="2"/>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Under </w:t>
      </w:r>
      <w:hyperlink r:id="rId5" w:history="1">
        <w:r w:rsidRPr="00CC1958">
          <w:rPr>
            <w:rFonts w:ascii="Arial" w:eastAsia="Times New Roman" w:hAnsi="Arial" w:cs="Arial"/>
            <w:color w:val="0000FF"/>
            <w:sz w:val="20"/>
            <w:u w:val="single"/>
          </w:rPr>
          <w:t>5 USC 7513</w:t>
        </w:r>
      </w:hyperlink>
      <w:r w:rsidRPr="00CC1958">
        <w:rPr>
          <w:rFonts w:ascii="Arial" w:eastAsia="Times New Roman" w:hAnsi="Arial" w:cs="Arial"/>
          <w:color w:val="000000"/>
          <w:sz w:val="20"/>
          <w:szCs w:val="20"/>
        </w:rPr>
        <w:t xml:space="preserve">, an agency can take adverse action against an employee only for such cause as will promote the efficiency of the service. To establish this nexus, an agency must show by a preponderance of the evidence that the employee's misconduct is likely to have an adverse effect on the agency's functioning. </w:t>
      </w:r>
      <w:proofErr w:type="spellStart"/>
      <w:r w:rsidRPr="00CC1958">
        <w:rPr>
          <w:rFonts w:ascii="Arial" w:eastAsia="Times New Roman" w:hAnsi="Arial" w:cs="Arial"/>
          <w:i/>
          <w:iCs/>
          <w:color w:val="000000"/>
          <w:sz w:val="20"/>
          <w:szCs w:val="20"/>
        </w:rPr>
        <w:t>Mings</w:t>
      </w:r>
      <w:proofErr w:type="spellEnd"/>
      <w:r w:rsidRPr="00CC1958">
        <w:rPr>
          <w:rFonts w:ascii="Arial" w:eastAsia="Times New Roman" w:hAnsi="Arial" w:cs="Arial"/>
          <w:i/>
          <w:iCs/>
          <w:color w:val="000000"/>
          <w:sz w:val="20"/>
          <w:szCs w:val="20"/>
        </w:rPr>
        <w:t xml:space="preserve"> v. Department of Justice</w:t>
      </w:r>
      <w:r w:rsidRPr="00CC1958">
        <w:rPr>
          <w:rFonts w:ascii="Arial" w:eastAsia="Times New Roman" w:hAnsi="Arial" w:cs="Arial"/>
          <w:color w:val="000000"/>
          <w:sz w:val="20"/>
          <w:szCs w:val="20"/>
        </w:rPr>
        <w:t xml:space="preserve">, </w:t>
      </w:r>
      <w:hyperlink r:id="rId6" w:history="1">
        <w:r w:rsidRPr="00CC1958">
          <w:rPr>
            <w:rFonts w:ascii="Arial" w:eastAsia="Times New Roman" w:hAnsi="Arial" w:cs="Arial"/>
            <w:color w:val="0000FF"/>
            <w:sz w:val="20"/>
            <w:u w:val="single"/>
          </w:rPr>
          <w:t>87 FMSR 7013</w:t>
        </w:r>
      </w:hyperlink>
      <w:r w:rsidRPr="00CC1958">
        <w:rPr>
          <w:rFonts w:ascii="Arial" w:eastAsia="Times New Roman" w:hAnsi="Arial" w:cs="Arial"/>
          <w:color w:val="000000"/>
          <w:sz w:val="20"/>
          <w:szCs w:val="20"/>
        </w:rPr>
        <w:t>, 813 F.2d 384 (Fed. Cir. 1987).</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proofErr w:type="spellStart"/>
      <w:r w:rsidRPr="00CC1958">
        <w:rPr>
          <w:rFonts w:ascii="Arial" w:eastAsia="Times New Roman" w:hAnsi="Arial" w:cs="Arial"/>
          <w:b/>
          <w:bCs/>
          <w:i/>
          <w:iCs/>
          <w:color w:val="FF0000"/>
          <w:sz w:val="20"/>
          <w:szCs w:val="20"/>
        </w:rPr>
        <w:t>Broida</w:t>
      </w:r>
      <w:proofErr w:type="spellEnd"/>
      <w:r w:rsidRPr="00CC1958">
        <w:rPr>
          <w:rFonts w:ascii="Arial" w:eastAsia="Times New Roman" w:hAnsi="Arial" w:cs="Arial"/>
          <w:b/>
          <w:bCs/>
          <w:i/>
          <w:iCs/>
          <w:color w:val="FF0000"/>
          <w:sz w:val="20"/>
          <w:szCs w:val="20"/>
        </w:rPr>
        <w:t>:</w:t>
      </w:r>
      <w:r w:rsidRPr="00CC1958">
        <w:rPr>
          <w:rFonts w:ascii="Arial" w:eastAsia="Times New Roman" w:hAnsi="Arial" w:cs="Arial"/>
          <w:color w:val="000000"/>
          <w:sz w:val="20"/>
          <w:szCs w:val="20"/>
        </w:rPr>
        <w:t xml:space="preserve"> Nexus may be broadly stated to encompass the requirement inherent in 5 USC 7513(a) that an action against an employee advances the efficiency of the federal service. The requirement of nexus established in 5 USC 7513 is reiterated by 5 USC 2302 (b)(10), making it a prohibited personnel practice to take a personnel action to "discriminate for or against any employee or applicant for employment on the basis of conduct which does not adversely affect the performance of the employee or applicant or the performance of others." </w:t>
      </w:r>
      <w:hyperlink r:id="rId7" w:history="1">
        <w:proofErr w:type="spellStart"/>
        <w:r w:rsidRPr="00CC1958">
          <w:rPr>
            <w:rFonts w:ascii="Arial" w:eastAsia="Times New Roman" w:hAnsi="Arial" w:cs="Arial"/>
            <w:i/>
            <w:iCs/>
            <w:color w:val="0000FF"/>
            <w:sz w:val="20"/>
            <w:u w:val="single"/>
          </w:rPr>
          <w:t>Broida</w:t>
        </w:r>
        <w:proofErr w:type="spellEnd"/>
        <w:r w:rsidRPr="00CC1958">
          <w:rPr>
            <w:rFonts w:ascii="Arial" w:eastAsia="Times New Roman" w:hAnsi="Arial" w:cs="Arial"/>
            <w:i/>
            <w:iCs/>
            <w:color w:val="0000FF"/>
            <w:sz w:val="20"/>
            <w:u w:val="single"/>
          </w:rPr>
          <w:t xml:space="preserve"> Guide to MSPB Law:</w:t>
        </w:r>
        <w:r w:rsidRPr="00CC1958">
          <w:rPr>
            <w:rFonts w:ascii="Arial" w:eastAsia="Times New Roman" w:hAnsi="Arial" w:cs="Arial"/>
            <w:color w:val="0000FF"/>
            <w:sz w:val="20"/>
            <w:u w:val="single"/>
          </w:rPr>
          <w:t xml:space="preserve"> Concept of Nexus</w:t>
        </w:r>
      </w:hyperlink>
      <w:r w:rsidRPr="00CC1958">
        <w:rPr>
          <w:rFonts w:ascii="Arial" w:eastAsia="Times New Roman" w:hAnsi="Arial" w:cs="Arial"/>
          <w:color w:val="000000"/>
          <w:sz w:val="20"/>
          <w:szCs w:val="20"/>
        </w:rPr>
        <w:t>.</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When the MSPB analyzes whether an agency has shown a nexus between an employee's misconduct and her duties, the board will consider whether the employee's removal will protect the integrity of the service as well as whether she is able to perform the duties of her position. </w:t>
      </w:r>
      <w:r w:rsidRPr="00CC1958">
        <w:rPr>
          <w:rFonts w:ascii="Arial" w:eastAsia="Times New Roman" w:hAnsi="Arial" w:cs="Arial"/>
          <w:i/>
          <w:iCs/>
          <w:color w:val="000000"/>
          <w:sz w:val="20"/>
          <w:szCs w:val="20"/>
        </w:rPr>
        <w:t>Doerr v. Office of Personnel Management</w:t>
      </w:r>
      <w:r w:rsidRPr="00CC1958">
        <w:rPr>
          <w:rFonts w:ascii="Arial" w:eastAsia="Times New Roman" w:hAnsi="Arial" w:cs="Arial"/>
          <w:color w:val="000000"/>
          <w:sz w:val="20"/>
          <w:szCs w:val="20"/>
        </w:rPr>
        <w:t>, 106 LRP 70443, 104 MSPR 196,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proofErr w:type="spellStart"/>
      <w:r w:rsidRPr="00CC1958">
        <w:rPr>
          <w:rFonts w:ascii="Arial" w:eastAsia="Times New Roman" w:hAnsi="Arial" w:cs="Arial"/>
          <w:b/>
          <w:bCs/>
          <w:i/>
          <w:iCs/>
          <w:color w:val="FF0000"/>
          <w:sz w:val="20"/>
          <w:szCs w:val="20"/>
        </w:rPr>
        <w:t>Broida</w:t>
      </w:r>
      <w:proofErr w:type="spellEnd"/>
      <w:r w:rsidRPr="00CC1958">
        <w:rPr>
          <w:rFonts w:ascii="Arial" w:eastAsia="Times New Roman" w:hAnsi="Arial" w:cs="Arial"/>
          <w:b/>
          <w:bCs/>
          <w:i/>
          <w:iCs/>
          <w:color w:val="FF0000"/>
          <w:sz w:val="20"/>
          <w:szCs w:val="20"/>
        </w:rPr>
        <w:t>:</w:t>
      </w:r>
      <w:r w:rsidRPr="00CC1958">
        <w:rPr>
          <w:rFonts w:ascii="Arial" w:eastAsia="Times New Roman" w:hAnsi="Arial" w:cs="Arial"/>
          <w:color w:val="000000"/>
          <w:sz w:val="20"/>
          <w:szCs w:val="20"/>
        </w:rPr>
        <w:t xml:space="preserve"> There are three general ways of establishing nexus between an agency's action and an employee's off-duty conduct: 1) A rebuttable presumption of nexus may arise in certain egregious circumstances; 2) the agency may show, by a preponderance of evidence, that the misconduct at issue has adversely affected the employee's or coworkers' job performance or the agency trust and confidence in the employee's job performance; and 3) it may show, by a preponderance of the evidence, that the misconduct interfered with or adversely affected the agency's mission. </w:t>
      </w:r>
      <w:hyperlink r:id="rId8" w:history="1">
        <w:proofErr w:type="spellStart"/>
        <w:r w:rsidRPr="00CC1958">
          <w:rPr>
            <w:rFonts w:ascii="Arial" w:eastAsia="Times New Roman" w:hAnsi="Arial" w:cs="Arial"/>
            <w:i/>
            <w:iCs/>
            <w:color w:val="0000FF"/>
            <w:sz w:val="20"/>
            <w:u w:val="single"/>
          </w:rPr>
          <w:t>Broida</w:t>
        </w:r>
        <w:proofErr w:type="spellEnd"/>
        <w:r w:rsidRPr="00CC1958">
          <w:rPr>
            <w:rFonts w:ascii="Arial" w:eastAsia="Times New Roman" w:hAnsi="Arial" w:cs="Arial"/>
            <w:i/>
            <w:iCs/>
            <w:color w:val="0000FF"/>
            <w:sz w:val="20"/>
            <w:u w:val="single"/>
          </w:rPr>
          <w:t xml:space="preserve"> Guide to MSPB Law:</w:t>
        </w:r>
        <w:r w:rsidRPr="00CC1958">
          <w:rPr>
            <w:rFonts w:ascii="Arial" w:eastAsia="Times New Roman" w:hAnsi="Arial" w:cs="Arial"/>
            <w:color w:val="0000FF"/>
            <w:sz w:val="20"/>
            <w:u w:val="single"/>
          </w:rPr>
          <w:t xml:space="preserve"> </w:t>
        </w:r>
        <w:r w:rsidRPr="00CC1958">
          <w:rPr>
            <w:rFonts w:ascii="Arial" w:eastAsia="Times New Roman" w:hAnsi="Arial" w:cs="Arial"/>
            <w:i/>
            <w:iCs/>
            <w:color w:val="0000FF"/>
            <w:sz w:val="20"/>
            <w:u w:val="single"/>
          </w:rPr>
          <w:t>Merritt</w:t>
        </w:r>
        <w:r w:rsidRPr="00CC1958">
          <w:rPr>
            <w:rFonts w:ascii="Arial" w:eastAsia="Times New Roman" w:hAnsi="Arial" w:cs="Arial"/>
            <w:color w:val="0000FF"/>
            <w:sz w:val="20"/>
            <w:u w:val="single"/>
          </w:rPr>
          <w:t xml:space="preserve"> and Presumptions of Nexus</w:t>
        </w:r>
      </w:hyperlink>
      <w:r w:rsidRPr="00CC1958">
        <w:rPr>
          <w:rFonts w:ascii="Arial" w:eastAsia="Times New Roman" w:hAnsi="Arial" w:cs="Arial"/>
          <w:color w:val="000000"/>
          <w:sz w:val="20"/>
          <w:szCs w:val="20"/>
        </w:rPr>
        <w:t xml:space="preserve">, </w:t>
      </w:r>
      <w:r w:rsidRPr="00CC1958">
        <w:rPr>
          <w:rFonts w:ascii="Arial" w:eastAsia="Times New Roman" w:hAnsi="Arial" w:cs="Arial"/>
          <w:i/>
          <w:iCs/>
          <w:color w:val="000000"/>
          <w:sz w:val="20"/>
          <w:szCs w:val="20"/>
        </w:rPr>
        <w:t>citing</w:t>
      </w:r>
      <w:r w:rsidRPr="00CC1958">
        <w:rPr>
          <w:rFonts w:ascii="Arial" w:eastAsia="Times New Roman" w:hAnsi="Arial" w:cs="Arial"/>
          <w:color w:val="000000"/>
          <w:sz w:val="20"/>
          <w:szCs w:val="20"/>
        </w:rPr>
        <w:t xml:space="preserve"> </w:t>
      </w:r>
      <w:proofErr w:type="spellStart"/>
      <w:r w:rsidRPr="00CC1958">
        <w:rPr>
          <w:rFonts w:ascii="Arial" w:eastAsia="Times New Roman" w:hAnsi="Arial" w:cs="Arial"/>
          <w:i/>
          <w:iCs/>
          <w:color w:val="000000"/>
          <w:sz w:val="20"/>
          <w:szCs w:val="20"/>
        </w:rPr>
        <w:t>Moten</w:t>
      </w:r>
      <w:proofErr w:type="spellEnd"/>
      <w:r w:rsidRPr="00CC1958">
        <w:rPr>
          <w:rFonts w:ascii="Arial" w:eastAsia="Times New Roman" w:hAnsi="Arial" w:cs="Arial"/>
          <w:i/>
          <w:iCs/>
          <w:color w:val="000000"/>
          <w:sz w:val="20"/>
          <w:szCs w:val="20"/>
        </w:rPr>
        <w:t xml:space="preserve"> v. U.S. Postal Service</w:t>
      </w:r>
      <w:r w:rsidRPr="00CC1958">
        <w:rPr>
          <w:rFonts w:ascii="Arial" w:eastAsia="Times New Roman" w:hAnsi="Arial" w:cs="Arial"/>
          <w:color w:val="000000"/>
          <w:sz w:val="20"/>
          <w:szCs w:val="20"/>
        </w:rPr>
        <w:t>, 89 FMSR 5413, 42 MSPR 282 (MSPB 1989).</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lastRenderedPageBreak/>
        <w:t xml:space="preserve">There is sufficient nexus between an employee's conduct and the efficiency of the service where the conduct occurred at work. </w:t>
      </w:r>
      <w:r w:rsidRPr="00CC1958">
        <w:rPr>
          <w:rFonts w:ascii="Arial" w:eastAsia="Times New Roman" w:hAnsi="Arial" w:cs="Arial"/>
          <w:i/>
          <w:iCs/>
          <w:color w:val="000000"/>
          <w:sz w:val="20"/>
          <w:szCs w:val="20"/>
        </w:rPr>
        <w:t>Miles, Sr. v. Department of the Navy</w:t>
      </w:r>
      <w:r w:rsidRPr="00CC1958">
        <w:rPr>
          <w:rFonts w:ascii="Arial" w:eastAsia="Times New Roman" w:hAnsi="Arial" w:cs="Arial"/>
          <w:color w:val="000000"/>
          <w:sz w:val="20"/>
          <w:szCs w:val="20"/>
        </w:rPr>
        <w:t>, 106 LRP 37763, 102 MSPR 316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1"/>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Nexus is automatically established when criminal conduct occurs while the employee is on duty. </w:t>
      </w:r>
      <w:r w:rsidRPr="00CC1958">
        <w:rPr>
          <w:rFonts w:ascii="Arial" w:eastAsia="Times New Roman" w:hAnsi="Arial" w:cs="Arial"/>
          <w:i/>
          <w:iCs/>
          <w:color w:val="000000"/>
          <w:sz w:val="20"/>
          <w:szCs w:val="20"/>
        </w:rPr>
        <w:t>Dalton v. Department of Justice</w:t>
      </w:r>
      <w:r w:rsidRPr="00CC1958">
        <w:rPr>
          <w:rFonts w:ascii="Arial" w:eastAsia="Times New Roman" w:hAnsi="Arial" w:cs="Arial"/>
          <w:color w:val="000000"/>
          <w:sz w:val="20"/>
          <w:szCs w:val="20"/>
        </w:rPr>
        <w:t xml:space="preserve">, </w:t>
      </w:r>
      <w:hyperlink r:id="rId9" w:history="1">
        <w:r w:rsidRPr="00CC1958">
          <w:rPr>
            <w:rFonts w:ascii="Arial" w:eastAsia="Times New Roman" w:hAnsi="Arial" w:cs="Arial"/>
            <w:color w:val="0000FF"/>
            <w:sz w:val="20"/>
            <w:u w:val="single"/>
          </w:rPr>
          <w:t>95 FMSR 5061</w:t>
        </w:r>
      </w:hyperlink>
      <w:r w:rsidRPr="00CC1958">
        <w:rPr>
          <w:rFonts w:ascii="Arial" w:eastAsia="Times New Roman" w:hAnsi="Arial" w:cs="Arial"/>
          <w:color w:val="000000"/>
          <w:sz w:val="20"/>
          <w:szCs w:val="20"/>
        </w:rPr>
        <w:t>, 66 MSPR 429 (MSPB 1995).</w:t>
      </w:r>
      <w:r w:rsidRPr="00CC1958">
        <w:rPr>
          <w:rFonts w:ascii="Arial" w:eastAsia="Times New Roman" w:hAnsi="Arial" w:cs="Arial"/>
          <w:color w:val="000000"/>
          <w:sz w:val="18"/>
          <w:szCs w:val="18"/>
        </w:rPr>
        <w:t xml:space="preserve"> </w:t>
      </w:r>
    </w:p>
    <w:p w:rsidR="00CC1958" w:rsidRPr="00CC1958" w:rsidRDefault="00CC1958" w:rsidP="00CC1958">
      <w:pPr>
        <w:spacing w:before="120" w:after="120" w:line="240" w:lineRule="auto"/>
        <w:rPr>
          <w:rFonts w:ascii="Times New Roman" w:eastAsia="Times New Roman" w:hAnsi="Times New Roman" w:cs="Times New Roman"/>
          <w:color w:val="000000"/>
          <w:sz w:val="24"/>
          <w:szCs w:val="24"/>
        </w:rPr>
      </w:pPr>
      <w:bookmarkStart w:id="3" w:name="Establishing_nexus_specific_circumstance"/>
      <w:r w:rsidRPr="00CC1958">
        <w:rPr>
          <w:rFonts w:ascii="Arial" w:eastAsia="Times New Roman" w:hAnsi="Arial" w:cs="Arial"/>
          <w:b/>
          <w:bCs/>
          <w:color w:val="000000"/>
          <w:sz w:val="20"/>
          <w:szCs w:val="20"/>
        </w:rPr>
        <w:t>Establishing nexus -- specific circumstances</w:t>
      </w:r>
      <w:bookmarkEnd w:id="3"/>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Where an employee's behavior toward his supervisor is disrespectful and disruptive to the workplace, there is a reasonable nexus between the employee's actions and the efficiency of service. </w:t>
      </w:r>
      <w:r w:rsidRPr="00CC1958">
        <w:rPr>
          <w:rFonts w:ascii="Arial" w:eastAsia="Times New Roman" w:hAnsi="Arial" w:cs="Arial"/>
          <w:i/>
          <w:iCs/>
          <w:color w:val="000000"/>
          <w:sz w:val="20"/>
          <w:szCs w:val="20"/>
        </w:rPr>
        <w:t>Riley v. U.S. Postal Service</w:t>
      </w:r>
      <w:r w:rsidRPr="00CC1958">
        <w:rPr>
          <w:rFonts w:ascii="Arial" w:eastAsia="Times New Roman" w:hAnsi="Arial" w:cs="Arial"/>
          <w:color w:val="000000"/>
          <w:sz w:val="20"/>
          <w:szCs w:val="20"/>
        </w:rPr>
        <w:t xml:space="preserve">, 102 FMSR 7035 (Fed. Cir. 2002, </w:t>
      </w:r>
      <w:r w:rsidRPr="00CC1958">
        <w:rPr>
          <w:rFonts w:ascii="Arial" w:eastAsia="Times New Roman" w:hAnsi="Arial" w:cs="Arial"/>
          <w:i/>
          <w:iCs/>
          <w:color w:val="000000"/>
          <w:sz w:val="20"/>
          <w:szCs w:val="20"/>
        </w:rPr>
        <w:t>unpublished</w:t>
      </w:r>
      <w:r w:rsidRPr="00CC1958">
        <w:rPr>
          <w:rFonts w:ascii="Arial" w:eastAsia="Times New Roman" w:hAnsi="Arial" w:cs="Arial"/>
          <w:color w:val="000000"/>
          <w:sz w:val="20"/>
          <w:szCs w:val="20"/>
        </w:rPr>
        <w:t>).</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 appellant's lack of candor during an administrative inquiry directly impacts the efficiency of the service, as it strikes at the very heart of the employer-employee relationship. </w:t>
      </w:r>
      <w:r w:rsidRPr="00CC1958">
        <w:rPr>
          <w:rFonts w:ascii="Arial" w:eastAsia="Times New Roman" w:hAnsi="Arial" w:cs="Arial"/>
          <w:i/>
          <w:iCs/>
          <w:color w:val="000000"/>
          <w:sz w:val="20"/>
          <w:szCs w:val="20"/>
        </w:rPr>
        <w:t>Ludlum v. Department of Justice</w:t>
      </w:r>
      <w:r w:rsidRPr="00CC1958">
        <w:rPr>
          <w:rFonts w:ascii="Arial" w:eastAsia="Times New Roman" w:hAnsi="Arial" w:cs="Arial"/>
          <w:color w:val="000000"/>
          <w:sz w:val="20"/>
          <w:szCs w:val="20"/>
        </w:rPr>
        <w:t>, 101 FMSR 5001, 87 MSPR 56 (MSPB 2000).</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Any sustained charge of AWOL is inherently connected to the efficiency of the service, and therefore nexus is automatically established. </w:t>
      </w:r>
      <w:r w:rsidRPr="00CC1958">
        <w:rPr>
          <w:rFonts w:ascii="Arial" w:eastAsia="Times New Roman" w:hAnsi="Arial" w:cs="Arial"/>
          <w:i/>
          <w:iCs/>
          <w:color w:val="000000"/>
          <w:sz w:val="20"/>
          <w:szCs w:val="20"/>
        </w:rPr>
        <w:t>Bryant v. National Science Foundation</w:t>
      </w:r>
      <w:r w:rsidRPr="00CC1958">
        <w:rPr>
          <w:rFonts w:ascii="Arial" w:eastAsia="Times New Roman" w:hAnsi="Arial" w:cs="Arial"/>
          <w:color w:val="000000"/>
          <w:sz w:val="20"/>
          <w:szCs w:val="20"/>
        </w:rPr>
        <w:t xml:space="preserve">, </w:t>
      </w:r>
      <w:hyperlink r:id="rId10" w:history="1">
        <w:r w:rsidRPr="00CC1958">
          <w:rPr>
            <w:rFonts w:ascii="Arial" w:eastAsia="Times New Roman" w:hAnsi="Arial" w:cs="Arial"/>
            <w:color w:val="0000FF"/>
            <w:sz w:val="20"/>
            <w:u w:val="single"/>
          </w:rPr>
          <w:t>97 FMSR 7004</w:t>
        </w:r>
      </w:hyperlink>
      <w:r w:rsidRPr="00CC1958">
        <w:rPr>
          <w:rFonts w:ascii="Arial" w:eastAsia="Times New Roman" w:hAnsi="Arial" w:cs="Arial"/>
          <w:color w:val="000000"/>
          <w:sz w:val="20"/>
          <w:szCs w:val="20"/>
        </w:rPr>
        <w:t>, 105 F.3d 1414 (Fed. Cir. 1997).</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Management's apprehension for the safety of employees is a valid consideration in determining whether a nexus exists. </w:t>
      </w:r>
      <w:r w:rsidRPr="00CC1958">
        <w:rPr>
          <w:rFonts w:ascii="Arial" w:eastAsia="Times New Roman" w:hAnsi="Arial" w:cs="Arial"/>
          <w:i/>
          <w:iCs/>
          <w:color w:val="000000"/>
          <w:sz w:val="20"/>
          <w:szCs w:val="20"/>
        </w:rPr>
        <w:t>Beasley v. Department of Defense</w:t>
      </w:r>
      <w:r w:rsidRPr="00CC1958">
        <w:rPr>
          <w:rFonts w:ascii="Arial" w:eastAsia="Times New Roman" w:hAnsi="Arial" w:cs="Arial"/>
          <w:color w:val="000000"/>
          <w:sz w:val="20"/>
          <w:szCs w:val="20"/>
        </w:rPr>
        <w:t xml:space="preserve">, </w:t>
      </w:r>
      <w:hyperlink r:id="rId11" w:history="1">
        <w:r w:rsidRPr="00CC1958">
          <w:rPr>
            <w:rFonts w:ascii="Arial" w:eastAsia="Times New Roman" w:hAnsi="Arial" w:cs="Arial"/>
            <w:color w:val="0000FF"/>
            <w:sz w:val="20"/>
            <w:u w:val="single"/>
          </w:rPr>
          <w:t>92 FMSR 5032</w:t>
        </w:r>
      </w:hyperlink>
      <w:r w:rsidRPr="00CC1958">
        <w:rPr>
          <w:rFonts w:ascii="Arial" w:eastAsia="Times New Roman" w:hAnsi="Arial" w:cs="Arial"/>
          <w:color w:val="000000"/>
          <w:sz w:val="20"/>
          <w:szCs w:val="20"/>
        </w:rPr>
        <w:t>, 52 MSPR 272 (MSPB 1992).</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 showing that the public's confidence in the agency would be undermined by the appellant's misconduct, thereby making it harder for other employees to do their jobs, establishes a nexus between the misconduct and service efficiency. </w:t>
      </w:r>
      <w:r w:rsidRPr="00CC1958">
        <w:rPr>
          <w:rFonts w:ascii="Arial" w:eastAsia="Times New Roman" w:hAnsi="Arial" w:cs="Arial"/>
          <w:i/>
          <w:iCs/>
          <w:color w:val="000000"/>
          <w:sz w:val="20"/>
          <w:szCs w:val="20"/>
        </w:rPr>
        <w:t>Allred v. Department of Health and Human Services</w:t>
      </w:r>
      <w:r w:rsidRPr="00CC1958">
        <w:rPr>
          <w:rFonts w:ascii="Arial" w:eastAsia="Times New Roman" w:hAnsi="Arial" w:cs="Arial"/>
          <w:color w:val="000000"/>
          <w:sz w:val="20"/>
          <w:szCs w:val="20"/>
        </w:rPr>
        <w:t xml:space="preserve">, </w:t>
      </w:r>
      <w:hyperlink r:id="rId12" w:history="1">
        <w:r w:rsidRPr="00CC1958">
          <w:rPr>
            <w:rFonts w:ascii="Arial" w:eastAsia="Times New Roman" w:hAnsi="Arial" w:cs="Arial"/>
            <w:color w:val="0000FF"/>
            <w:sz w:val="20"/>
            <w:u w:val="single"/>
          </w:rPr>
          <w:t>86 FMSR 7028</w:t>
        </w:r>
      </w:hyperlink>
      <w:r w:rsidRPr="00CC1958">
        <w:rPr>
          <w:rFonts w:ascii="Arial" w:eastAsia="Times New Roman" w:hAnsi="Arial" w:cs="Arial"/>
          <w:color w:val="000000"/>
          <w:sz w:val="20"/>
          <w:szCs w:val="20"/>
        </w:rPr>
        <w:t>, 786 F.2d 1128 (Fed. Cir. 1986).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2"/>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Because law enforcement officers are held to a higher standard of conduct than other employees, agencies can more easily demonstrate nexus in adverse actions based on LEO misconduct. </w:t>
      </w:r>
      <w:proofErr w:type="spellStart"/>
      <w:r w:rsidRPr="00CC1958">
        <w:rPr>
          <w:rFonts w:ascii="Arial" w:eastAsia="Times New Roman" w:hAnsi="Arial" w:cs="Arial"/>
          <w:i/>
          <w:iCs/>
          <w:color w:val="000000"/>
          <w:sz w:val="20"/>
          <w:szCs w:val="20"/>
        </w:rPr>
        <w:t>Stines</w:t>
      </w:r>
      <w:proofErr w:type="spellEnd"/>
      <w:r w:rsidRPr="00CC1958">
        <w:rPr>
          <w:rFonts w:ascii="Arial" w:eastAsia="Times New Roman" w:hAnsi="Arial" w:cs="Arial"/>
          <w:i/>
          <w:iCs/>
          <w:color w:val="000000"/>
          <w:sz w:val="20"/>
          <w:szCs w:val="20"/>
        </w:rPr>
        <w:t xml:space="preserve"> v. Department of Justice</w:t>
      </w:r>
      <w:r w:rsidRPr="00CC1958">
        <w:rPr>
          <w:rFonts w:ascii="Arial" w:eastAsia="Times New Roman" w:hAnsi="Arial" w:cs="Arial"/>
          <w:color w:val="000000"/>
          <w:sz w:val="20"/>
          <w:szCs w:val="20"/>
        </w:rPr>
        <w:t xml:space="preserve">, </w:t>
      </w:r>
      <w:hyperlink r:id="rId13" w:history="1">
        <w:r w:rsidRPr="00CC1958">
          <w:rPr>
            <w:rFonts w:ascii="Arial" w:eastAsia="Times New Roman" w:hAnsi="Arial" w:cs="Arial"/>
            <w:color w:val="0000FF"/>
            <w:sz w:val="20"/>
            <w:u w:val="single"/>
          </w:rPr>
          <w:t>84 FMSR 5714</w:t>
        </w:r>
      </w:hyperlink>
      <w:r w:rsidRPr="00CC1958">
        <w:rPr>
          <w:rFonts w:ascii="Arial" w:eastAsia="Times New Roman" w:hAnsi="Arial" w:cs="Arial"/>
          <w:color w:val="000000"/>
          <w:sz w:val="20"/>
          <w:szCs w:val="20"/>
        </w:rPr>
        <w:t>, 22 MSPR 511 (MSPB 1984).</w:t>
      </w:r>
      <w:r w:rsidRPr="00CC1958">
        <w:rPr>
          <w:rFonts w:ascii="Arial" w:eastAsia="Times New Roman" w:hAnsi="Arial" w:cs="Arial"/>
          <w:color w:val="000000"/>
          <w:sz w:val="18"/>
          <w:szCs w:val="18"/>
        </w:rPr>
        <w:t xml:space="preserve"> </w:t>
      </w:r>
    </w:p>
    <w:p w:rsidR="00CC1958" w:rsidRPr="00CC1958" w:rsidRDefault="00CC1958" w:rsidP="00CC1958">
      <w:pPr>
        <w:spacing w:before="100" w:beforeAutospacing="1" w:after="100" w:afterAutospacing="1" w:line="240" w:lineRule="auto"/>
        <w:rPr>
          <w:rFonts w:ascii="Times New Roman" w:eastAsia="Times New Roman" w:hAnsi="Times New Roman" w:cs="Times New Roman"/>
          <w:color w:val="000000"/>
          <w:sz w:val="24"/>
          <w:szCs w:val="24"/>
        </w:rPr>
      </w:pPr>
      <w:bookmarkStart w:id="4" w:name="Off_duty_misconduct_in_general"/>
      <w:r w:rsidRPr="00CC1958">
        <w:rPr>
          <w:rFonts w:ascii="Arial" w:eastAsia="Times New Roman" w:hAnsi="Arial" w:cs="Arial"/>
          <w:b/>
          <w:bCs/>
          <w:color w:val="000000"/>
          <w:sz w:val="20"/>
          <w:szCs w:val="20"/>
        </w:rPr>
        <w:t>Off-duty misconduct -- in general</w:t>
      </w:r>
      <w:bookmarkEnd w:id="4"/>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 agency can show a nexus linking an employee's off-duty misconduct with the efficiency of the service through: 1) a rebuttable presumption of nexus that arises in certain egregious circumstances based on the nature and gravity of the misconduct; 2) a showing that the misconduct affects the employee's or his coworkers' job performance, or management's trust and confidence in the employee's job performance; or 3) a showing that the misconduct interfered with or adversely affected the agency's mission. </w:t>
      </w:r>
      <w:r w:rsidRPr="00CC1958">
        <w:rPr>
          <w:rFonts w:ascii="Arial" w:eastAsia="Times New Roman" w:hAnsi="Arial" w:cs="Arial"/>
          <w:i/>
          <w:iCs/>
          <w:color w:val="000000"/>
          <w:sz w:val="20"/>
          <w:szCs w:val="20"/>
        </w:rPr>
        <w:t>Kruger v. Department of Justice</w:t>
      </w:r>
      <w:r w:rsidRPr="00CC1958">
        <w:rPr>
          <w:rFonts w:ascii="Arial" w:eastAsia="Times New Roman" w:hAnsi="Arial" w:cs="Arial"/>
          <w:color w:val="000000"/>
          <w:sz w:val="20"/>
          <w:szCs w:val="20"/>
        </w:rPr>
        <w:t xml:space="preserve">, </w:t>
      </w:r>
      <w:hyperlink r:id="rId14" w:history="1">
        <w:r w:rsidRPr="00CC1958">
          <w:rPr>
            <w:rFonts w:ascii="Arial" w:eastAsia="Times New Roman" w:hAnsi="Arial" w:cs="Arial"/>
            <w:color w:val="0000FF"/>
            <w:sz w:val="20"/>
            <w:u w:val="single"/>
          </w:rPr>
          <w:t>87 FMSR 5004</w:t>
        </w:r>
      </w:hyperlink>
      <w:r w:rsidRPr="00CC1958">
        <w:rPr>
          <w:rFonts w:ascii="Arial" w:eastAsia="Times New Roman" w:hAnsi="Arial" w:cs="Arial"/>
          <w:color w:val="000000"/>
          <w:sz w:val="20"/>
          <w:szCs w:val="20"/>
        </w:rPr>
        <w:t>, 32 MSPR 71 (MSPB 1987).</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Nexus can be proven by showing that an employee engaged in off-duty misconduct that is directly opposed to the agency's mission. There is no need to rely on a presumption of nexus. </w:t>
      </w:r>
      <w:r w:rsidRPr="00CC1958">
        <w:rPr>
          <w:rFonts w:ascii="Arial" w:eastAsia="Times New Roman" w:hAnsi="Arial" w:cs="Arial"/>
          <w:i/>
          <w:iCs/>
          <w:color w:val="000000"/>
          <w:sz w:val="20"/>
          <w:szCs w:val="20"/>
        </w:rPr>
        <w:t>Kruger v. Department of Justice</w:t>
      </w:r>
      <w:r w:rsidRPr="00CC1958">
        <w:rPr>
          <w:rFonts w:ascii="Arial" w:eastAsia="Times New Roman" w:hAnsi="Arial" w:cs="Arial"/>
          <w:color w:val="000000"/>
          <w:sz w:val="20"/>
          <w:szCs w:val="20"/>
        </w:rPr>
        <w:t xml:space="preserve">, </w:t>
      </w:r>
      <w:hyperlink r:id="rId15" w:history="1">
        <w:r w:rsidRPr="00CC1958">
          <w:rPr>
            <w:rFonts w:ascii="Arial" w:eastAsia="Times New Roman" w:hAnsi="Arial" w:cs="Arial"/>
            <w:color w:val="0000FF"/>
            <w:sz w:val="20"/>
            <w:u w:val="single"/>
          </w:rPr>
          <w:t>87 FMSR 5004</w:t>
        </w:r>
      </w:hyperlink>
      <w:r w:rsidRPr="00CC1958">
        <w:rPr>
          <w:rFonts w:ascii="Arial" w:eastAsia="Times New Roman" w:hAnsi="Arial" w:cs="Arial"/>
          <w:color w:val="000000"/>
          <w:sz w:val="20"/>
          <w:szCs w:val="20"/>
        </w:rPr>
        <w:t xml:space="preserve">, 32 MSPR 71 (MSPB 1987); </w:t>
      </w:r>
      <w:r w:rsidRPr="00CC1958">
        <w:rPr>
          <w:rFonts w:ascii="Arial" w:eastAsia="Times New Roman" w:hAnsi="Arial" w:cs="Arial"/>
          <w:i/>
          <w:iCs/>
          <w:color w:val="000000"/>
          <w:sz w:val="20"/>
          <w:szCs w:val="20"/>
        </w:rPr>
        <w:t>Doe v. Department of Justice</w:t>
      </w:r>
      <w:r w:rsidRPr="00CC1958">
        <w:rPr>
          <w:rFonts w:ascii="Arial" w:eastAsia="Times New Roman" w:hAnsi="Arial" w:cs="Arial"/>
          <w:color w:val="000000"/>
          <w:sz w:val="20"/>
          <w:szCs w:val="20"/>
        </w:rPr>
        <w:t>, 106 LRP 48614, 103 MSPR 135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 nexus exists when the agency can show that the appellant's off-duty misconduct caused it to lose trust and confidence in the appellant's ability to perform his duties. </w:t>
      </w:r>
      <w:proofErr w:type="spellStart"/>
      <w:r w:rsidRPr="00CC1958">
        <w:rPr>
          <w:rFonts w:ascii="Arial" w:eastAsia="Times New Roman" w:hAnsi="Arial" w:cs="Arial"/>
          <w:i/>
          <w:iCs/>
          <w:color w:val="000000"/>
          <w:sz w:val="20"/>
          <w:szCs w:val="20"/>
        </w:rPr>
        <w:t>Royster</w:t>
      </w:r>
      <w:proofErr w:type="spellEnd"/>
      <w:r w:rsidRPr="00CC1958">
        <w:rPr>
          <w:rFonts w:ascii="Arial" w:eastAsia="Times New Roman" w:hAnsi="Arial" w:cs="Arial"/>
          <w:i/>
          <w:iCs/>
          <w:color w:val="000000"/>
          <w:sz w:val="20"/>
          <w:szCs w:val="20"/>
        </w:rPr>
        <w:t xml:space="preserve"> v. Department of Justice</w:t>
      </w:r>
      <w:r w:rsidRPr="00CC1958">
        <w:rPr>
          <w:rFonts w:ascii="Arial" w:eastAsia="Times New Roman" w:hAnsi="Arial" w:cs="Arial"/>
          <w:color w:val="000000"/>
          <w:sz w:val="20"/>
          <w:szCs w:val="20"/>
        </w:rPr>
        <w:t xml:space="preserve">, </w:t>
      </w:r>
      <w:hyperlink r:id="rId16" w:history="1">
        <w:r w:rsidRPr="00CC1958">
          <w:rPr>
            <w:rFonts w:ascii="Arial" w:eastAsia="Times New Roman" w:hAnsi="Arial" w:cs="Arial"/>
            <w:color w:val="0000FF"/>
            <w:sz w:val="20"/>
            <w:u w:val="single"/>
          </w:rPr>
          <w:t>93 FMSR 5310</w:t>
        </w:r>
      </w:hyperlink>
      <w:r w:rsidRPr="00CC1958">
        <w:rPr>
          <w:rFonts w:ascii="Arial" w:eastAsia="Times New Roman" w:hAnsi="Arial" w:cs="Arial"/>
          <w:color w:val="000000"/>
          <w:sz w:val="20"/>
          <w:szCs w:val="20"/>
        </w:rPr>
        <w:t xml:space="preserve">, 58 MSPR 495 (MSPB 1993); </w:t>
      </w:r>
      <w:r w:rsidRPr="00CC1958">
        <w:rPr>
          <w:rFonts w:ascii="Arial" w:eastAsia="Times New Roman" w:hAnsi="Arial" w:cs="Arial"/>
          <w:i/>
          <w:iCs/>
          <w:color w:val="000000"/>
          <w:sz w:val="20"/>
          <w:szCs w:val="20"/>
        </w:rPr>
        <w:t>Doe v. Department of Justice</w:t>
      </w:r>
      <w:r w:rsidRPr="00CC1958">
        <w:rPr>
          <w:rFonts w:ascii="Arial" w:eastAsia="Times New Roman" w:hAnsi="Arial" w:cs="Arial"/>
          <w:color w:val="000000"/>
          <w:sz w:val="20"/>
          <w:szCs w:val="20"/>
        </w:rPr>
        <w:t>, 106 LRP 48614, 103 MSPR 135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proofErr w:type="spellStart"/>
      <w:r w:rsidRPr="00CC1958">
        <w:rPr>
          <w:rFonts w:ascii="Arial" w:eastAsia="Times New Roman" w:hAnsi="Arial" w:cs="Arial"/>
          <w:b/>
          <w:bCs/>
          <w:i/>
          <w:iCs/>
          <w:color w:val="FF0000"/>
          <w:sz w:val="20"/>
          <w:szCs w:val="20"/>
        </w:rPr>
        <w:t>Broida</w:t>
      </w:r>
      <w:proofErr w:type="spellEnd"/>
      <w:r w:rsidRPr="00CC1958">
        <w:rPr>
          <w:rFonts w:ascii="Arial" w:eastAsia="Times New Roman" w:hAnsi="Arial" w:cs="Arial"/>
          <w:b/>
          <w:bCs/>
          <w:i/>
          <w:iCs/>
          <w:color w:val="FF0000"/>
          <w:sz w:val="20"/>
          <w:szCs w:val="20"/>
        </w:rPr>
        <w:t>:</w:t>
      </w:r>
      <w:r w:rsidRPr="00CC1958">
        <w:rPr>
          <w:rFonts w:ascii="Arial" w:eastAsia="Times New Roman" w:hAnsi="Arial" w:cs="Arial"/>
          <w:color w:val="000000"/>
          <w:sz w:val="20"/>
          <w:szCs w:val="20"/>
        </w:rPr>
        <w:t xml:space="preserve"> Nexus inheres in off-duty misconduct if it has a direct impact on the employing agency, even if it has nothing to do with an employee's job. </w:t>
      </w:r>
      <w:hyperlink r:id="rId17" w:history="1">
        <w:proofErr w:type="spellStart"/>
        <w:r w:rsidRPr="00CC1958">
          <w:rPr>
            <w:rFonts w:ascii="Arial" w:eastAsia="Times New Roman" w:hAnsi="Arial" w:cs="Arial"/>
            <w:i/>
            <w:iCs/>
            <w:color w:val="0000FF"/>
            <w:sz w:val="20"/>
            <w:u w:val="single"/>
          </w:rPr>
          <w:t>Broida</w:t>
        </w:r>
        <w:proofErr w:type="spellEnd"/>
        <w:r w:rsidRPr="00CC1958">
          <w:rPr>
            <w:rFonts w:ascii="Arial" w:eastAsia="Times New Roman" w:hAnsi="Arial" w:cs="Arial"/>
            <w:i/>
            <w:iCs/>
            <w:color w:val="0000FF"/>
            <w:sz w:val="20"/>
            <w:u w:val="single"/>
          </w:rPr>
          <w:t xml:space="preserve"> Guide to MSPB Law:</w:t>
        </w:r>
        <w:r w:rsidRPr="00CC1958">
          <w:rPr>
            <w:rFonts w:ascii="Arial" w:eastAsia="Times New Roman" w:hAnsi="Arial" w:cs="Arial"/>
            <w:color w:val="0000FF"/>
            <w:sz w:val="20"/>
            <w:u w:val="single"/>
          </w:rPr>
          <w:t xml:space="preserve"> Off-Duty Actions on Agency Premises</w:t>
        </w:r>
      </w:hyperlink>
      <w:r w:rsidRPr="00CC1958">
        <w:rPr>
          <w:rFonts w:ascii="Arial" w:eastAsia="Times New Roman" w:hAnsi="Arial" w:cs="Arial"/>
          <w:color w:val="000000"/>
          <w:sz w:val="20"/>
          <w:szCs w:val="20"/>
        </w:rPr>
        <w:t>.</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proofErr w:type="spellStart"/>
      <w:r w:rsidRPr="00CC1958">
        <w:rPr>
          <w:rFonts w:ascii="Arial" w:eastAsia="Times New Roman" w:hAnsi="Arial" w:cs="Arial"/>
          <w:b/>
          <w:bCs/>
          <w:i/>
          <w:iCs/>
          <w:color w:val="FF0000"/>
          <w:sz w:val="20"/>
          <w:szCs w:val="20"/>
        </w:rPr>
        <w:lastRenderedPageBreak/>
        <w:t>Broida</w:t>
      </w:r>
      <w:proofErr w:type="spellEnd"/>
      <w:r w:rsidRPr="00CC1958">
        <w:rPr>
          <w:rFonts w:ascii="Arial" w:eastAsia="Times New Roman" w:hAnsi="Arial" w:cs="Arial"/>
          <w:b/>
          <w:bCs/>
          <w:i/>
          <w:iCs/>
          <w:color w:val="FF0000"/>
          <w:sz w:val="20"/>
          <w:szCs w:val="20"/>
        </w:rPr>
        <w:t>:</w:t>
      </w:r>
      <w:r w:rsidRPr="00CC1958">
        <w:rPr>
          <w:rFonts w:ascii="Arial" w:eastAsia="Times New Roman" w:hAnsi="Arial" w:cs="Arial"/>
          <w:color w:val="000000"/>
          <w:sz w:val="20"/>
          <w:szCs w:val="20"/>
        </w:rPr>
        <w:t xml:space="preserve"> Nexus is established if an altercation between employees starts on duty and continues off duty. The agency has a right and responsibility to maintain discipline and order among its employees. </w:t>
      </w:r>
      <w:hyperlink r:id="rId18" w:history="1">
        <w:proofErr w:type="spellStart"/>
        <w:r w:rsidRPr="00CC1958">
          <w:rPr>
            <w:rFonts w:ascii="Arial" w:eastAsia="Times New Roman" w:hAnsi="Arial" w:cs="Arial"/>
            <w:i/>
            <w:iCs/>
            <w:color w:val="0000FF"/>
            <w:sz w:val="20"/>
            <w:u w:val="single"/>
          </w:rPr>
          <w:t>Broida</w:t>
        </w:r>
        <w:proofErr w:type="spellEnd"/>
        <w:r w:rsidRPr="00CC1958">
          <w:rPr>
            <w:rFonts w:ascii="Arial" w:eastAsia="Times New Roman" w:hAnsi="Arial" w:cs="Arial"/>
            <w:i/>
            <w:iCs/>
            <w:color w:val="0000FF"/>
            <w:sz w:val="20"/>
            <w:u w:val="single"/>
          </w:rPr>
          <w:t xml:space="preserve"> Guide to MSPB Law:</w:t>
        </w:r>
        <w:r w:rsidRPr="00CC1958">
          <w:rPr>
            <w:rFonts w:ascii="Arial" w:eastAsia="Times New Roman" w:hAnsi="Arial" w:cs="Arial"/>
            <w:color w:val="0000FF"/>
            <w:sz w:val="20"/>
            <w:u w:val="single"/>
          </w:rPr>
          <w:t xml:space="preserve"> Off-Duty Actions on Agency Premises</w:t>
        </w:r>
      </w:hyperlink>
      <w:r w:rsidRPr="00CC1958">
        <w:rPr>
          <w:rFonts w:ascii="Arial" w:eastAsia="Times New Roman" w:hAnsi="Arial" w:cs="Arial"/>
          <w:color w:val="000000"/>
          <w:sz w:val="20"/>
          <w:szCs w:val="20"/>
        </w:rPr>
        <w:t>.</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3"/>
        </w:numPr>
        <w:spacing w:before="120" w:after="120" w:line="240" w:lineRule="auto"/>
        <w:ind w:left="765"/>
        <w:rPr>
          <w:rFonts w:ascii="Arial" w:eastAsia="Times New Roman" w:hAnsi="Arial" w:cs="Arial"/>
          <w:color w:val="000000"/>
          <w:sz w:val="18"/>
          <w:szCs w:val="18"/>
        </w:rPr>
      </w:pPr>
      <w:proofErr w:type="spellStart"/>
      <w:r w:rsidRPr="00CC1958">
        <w:rPr>
          <w:rFonts w:ascii="Arial" w:eastAsia="Times New Roman" w:hAnsi="Arial" w:cs="Arial"/>
          <w:b/>
          <w:bCs/>
          <w:i/>
          <w:iCs/>
          <w:color w:val="FF0000"/>
          <w:sz w:val="20"/>
          <w:szCs w:val="20"/>
        </w:rPr>
        <w:t>Broida</w:t>
      </w:r>
      <w:proofErr w:type="spellEnd"/>
      <w:r w:rsidRPr="00CC1958">
        <w:rPr>
          <w:rFonts w:ascii="Arial" w:eastAsia="Times New Roman" w:hAnsi="Arial" w:cs="Arial"/>
          <w:b/>
          <w:bCs/>
          <w:i/>
          <w:iCs/>
          <w:color w:val="FF0000"/>
          <w:sz w:val="20"/>
          <w:szCs w:val="20"/>
        </w:rPr>
        <w:t>:</w:t>
      </w:r>
      <w:r w:rsidRPr="00CC1958">
        <w:rPr>
          <w:rFonts w:ascii="Arial" w:eastAsia="Times New Roman" w:hAnsi="Arial" w:cs="Arial"/>
          <w:color w:val="000000"/>
          <w:sz w:val="20"/>
          <w:szCs w:val="20"/>
        </w:rPr>
        <w:t xml:space="preserve"> Off-duty offenses involving fraud support a demonstration of nexus more through injury to notions of trust and confidence than through a demonstration that an employee's ability to perform his duties has been impaired. </w:t>
      </w:r>
      <w:hyperlink r:id="rId19" w:history="1">
        <w:proofErr w:type="spellStart"/>
        <w:r w:rsidRPr="00CC1958">
          <w:rPr>
            <w:rFonts w:ascii="Arial" w:eastAsia="Times New Roman" w:hAnsi="Arial" w:cs="Arial"/>
            <w:i/>
            <w:iCs/>
            <w:color w:val="0000FF"/>
            <w:sz w:val="20"/>
            <w:u w:val="single"/>
          </w:rPr>
          <w:t>Broida</w:t>
        </w:r>
        <w:proofErr w:type="spellEnd"/>
        <w:r w:rsidRPr="00CC1958">
          <w:rPr>
            <w:rFonts w:ascii="Arial" w:eastAsia="Times New Roman" w:hAnsi="Arial" w:cs="Arial"/>
            <w:i/>
            <w:iCs/>
            <w:color w:val="0000FF"/>
            <w:sz w:val="20"/>
            <w:u w:val="single"/>
          </w:rPr>
          <w:t xml:space="preserve"> Guide to MSPB Law:</w:t>
        </w:r>
        <w:r w:rsidRPr="00CC1958">
          <w:rPr>
            <w:rFonts w:ascii="Arial" w:eastAsia="Times New Roman" w:hAnsi="Arial" w:cs="Arial"/>
            <w:color w:val="0000FF"/>
            <w:sz w:val="20"/>
            <w:u w:val="single"/>
          </w:rPr>
          <w:t xml:space="preserve"> Off-Duty Offenses.</w:t>
        </w:r>
      </w:hyperlink>
      <w:r w:rsidRPr="00CC1958">
        <w:rPr>
          <w:rFonts w:ascii="Arial" w:eastAsia="Times New Roman" w:hAnsi="Arial" w:cs="Arial"/>
          <w:color w:val="000000"/>
          <w:sz w:val="18"/>
          <w:szCs w:val="18"/>
        </w:rPr>
        <w:t xml:space="preserve"> </w:t>
      </w:r>
    </w:p>
    <w:p w:rsidR="00CC1958" w:rsidRPr="00CC1958" w:rsidRDefault="00CC1958" w:rsidP="00CC1958">
      <w:pPr>
        <w:spacing w:before="100" w:beforeAutospacing="1" w:after="100" w:afterAutospacing="1" w:line="240" w:lineRule="auto"/>
        <w:rPr>
          <w:rFonts w:ascii="Times New Roman" w:eastAsia="Times New Roman" w:hAnsi="Times New Roman" w:cs="Times New Roman"/>
          <w:color w:val="000000"/>
          <w:sz w:val="24"/>
          <w:szCs w:val="24"/>
        </w:rPr>
      </w:pPr>
      <w:bookmarkStart w:id="5" w:name="Off_duty_misconduct_rebuttable_"/>
      <w:r w:rsidRPr="00CC1958">
        <w:rPr>
          <w:rFonts w:ascii="Arial" w:eastAsia="Times New Roman" w:hAnsi="Arial" w:cs="Arial"/>
          <w:b/>
          <w:bCs/>
          <w:color w:val="000000"/>
          <w:sz w:val="20"/>
          <w:szCs w:val="20"/>
        </w:rPr>
        <w:t>Off-duty misconduct -- rebuttable presumption</w:t>
      </w:r>
      <w:bookmarkEnd w:id="5"/>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 nexus cannot be presumed based only on the fact that an employee was arrested for an off-duty offense. </w:t>
      </w:r>
      <w:r w:rsidRPr="00CC1958">
        <w:rPr>
          <w:rFonts w:ascii="Arial" w:eastAsia="Times New Roman" w:hAnsi="Arial" w:cs="Arial"/>
          <w:i/>
          <w:iCs/>
          <w:color w:val="000000"/>
          <w:sz w:val="20"/>
          <w:szCs w:val="20"/>
        </w:rPr>
        <w:t>Roby v. Department of Justice</w:t>
      </w:r>
      <w:r w:rsidRPr="00CC1958">
        <w:rPr>
          <w:rFonts w:ascii="Arial" w:eastAsia="Times New Roman" w:hAnsi="Arial" w:cs="Arial"/>
          <w:color w:val="000000"/>
          <w:sz w:val="20"/>
          <w:szCs w:val="20"/>
        </w:rPr>
        <w:t xml:space="preserve">, </w:t>
      </w:r>
      <w:hyperlink r:id="rId20" w:history="1">
        <w:r w:rsidRPr="00CC1958">
          <w:rPr>
            <w:rFonts w:ascii="Arial" w:eastAsia="Times New Roman" w:hAnsi="Arial" w:cs="Arial"/>
            <w:color w:val="0000FF"/>
            <w:sz w:val="20"/>
            <w:u w:val="single"/>
          </w:rPr>
          <w:t>93 FMSR 5425</w:t>
        </w:r>
      </w:hyperlink>
      <w:r w:rsidRPr="00CC1958">
        <w:rPr>
          <w:rFonts w:ascii="Arial" w:eastAsia="Times New Roman" w:hAnsi="Arial" w:cs="Arial"/>
          <w:color w:val="000000"/>
          <w:sz w:val="20"/>
          <w:szCs w:val="20"/>
        </w:rPr>
        <w:t>, 59 MSPR 426 (MSPB 1993).</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Off-duty sexual misconduct involving a minor is sufficiently egregious to establish a rebuttable presumption of nexus. </w:t>
      </w:r>
      <w:r w:rsidRPr="00CC1958">
        <w:rPr>
          <w:rFonts w:ascii="Arial" w:eastAsia="Times New Roman" w:hAnsi="Arial" w:cs="Arial"/>
          <w:i/>
          <w:iCs/>
          <w:color w:val="000000"/>
          <w:sz w:val="20"/>
          <w:szCs w:val="20"/>
        </w:rPr>
        <w:t>Allred v. Department of Health and Human Services</w:t>
      </w:r>
      <w:r w:rsidRPr="00CC1958">
        <w:rPr>
          <w:rFonts w:ascii="Arial" w:eastAsia="Times New Roman" w:hAnsi="Arial" w:cs="Arial"/>
          <w:color w:val="000000"/>
          <w:sz w:val="20"/>
          <w:szCs w:val="20"/>
        </w:rPr>
        <w:t xml:space="preserve">, </w:t>
      </w:r>
      <w:hyperlink r:id="rId21" w:history="1">
        <w:r w:rsidRPr="00CC1958">
          <w:rPr>
            <w:rFonts w:ascii="Arial" w:eastAsia="Times New Roman" w:hAnsi="Arial" w:cs="Arial"/>
            <w:color w:val="0000FF"/>
            <w:sz w:val="20"/>
            <w:u w:val="single"/>
          </w:rPr>
          <w:t>86 FMSR 7028</w:t>
        </w:r>
      </w:hyperlink>
      <w:r w:rsidRPr="00CC1958">
        <w:rPr>
          <w:rFonts w:ascii="Arial" w:eastAsia="Times New Roman" w:hAnsi="Arial" w:cs="Arial"/>
          <w:color w:val="000000"/>
          <w:sz w:val="20"/>
          <w:szCs w:val="20"/>
        </w:rPr>
        <w:t>, 786 F.2d 1128 (Fed. Cir. 1986).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 off-duty assault and beating of a supervisor is sufficiently egregious to establish a rebuttable presumption of nexus. </w:t>
      </w:r>
      <w:r w:rsidRPr="00CC1958">
        <w:rPr>
          <w:rFonts w:ascii="Arial" w:eastAsia="Times New Roman" w:hAnsi="Arial" w:cs="Arial"/>
          <w:i/>
          <w:iCs/>
          <w:color w:val="000000"/>
          <w:sz w:val="20"/>
          <w:szCs w:val="20"/>
        </w:rPr>
        <w:t>Dominguez v. Department of the Air Force</w:t>
      </w:r>
      <w:r w:rsidRPr="00CC1958">
        <w:rPr>
          <w:rFonts w:ascii="Arial" w:eastAsia="Times New Roman" w:hAnsi="Arial" w:cs="Arial"/>
          <w:color w:val="000000"/>
          <w:sz w:val="20"/>
          <w:szCs w:val="20"/>
        </w:rPr>
        <w:t xml:space="preserve">, </w:t>
      </w:r>
      <w:hyperlink r:id="rId22" w:history="1">
        <w:r w:rsidRPr="00CC1958">
          <w:rPr>
            <w:rFonts w:ascii="Arial" w:eastAsia="Times New Roman" w:hAnsi="Arial" w:cs="Arial"/>
            <w:color w:val="0000FF"/>
            <w:sz w:val="20"/>
            <w:u w:val="single"/>
          </w:rPr>
          <w:t>86 FMSR 7080</w:t>
        </w:r>
      </w:hyperlink>
      <w:r w:rsidRPr="00CC1958">
        <w:rPr>
          <w:rFonts w:ascii="Arial" w:eastAsia="Times New Roman" w:hAnsi="Arial" w:cs="Arial"/>
          <w:color w:val="000000"/>
          <w:sz w:val="20"/>
          <w:szCs w:val="20"/>
        </w:rPr>
        <w:t>, 803 F.2d 680 (Fed. Cir. 1986).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Falsification of records, theft of government property, and unauthorized possession of government property are sufficiently egregious to establish a rebuttable presumption of nexus. </w:t>
      </w:r>
      <w:proofErr w:type="spellStart"/>
      <w:r w:rsidRPr="00CC1958">
        <w:rPr>
          <w:rFonts w:ascii="Arial" w:eastAsia="Times New Roman" w:hAnsi="Arial" w:cs="Arial"/>
          <w:i/>
          <w:iCs/>
          <w:color w:val="000000"/>
          <w:sz w:val="20"/>
          <w:szCs w:val="20"/>
        </w:rPr>
        <w:t>Kumferman</w:t>
      </w:r>
      <w:proofErr w:type="spellEnd"/>
      <w:r w:rsidRPr="00CC1958">
        <w:rPr>
          <w:rFonts w:ascii="Arial" w:eastAsia="Times New Roman" w:hAnsi="Arial" w:cs="Arial"/>
          <w:i/>
          <w:iCs/>
          <w:color w:val="000000"/>
          <w:sz w:val="20"/>
          <w:szCs w:val="20"/>
        </w:rPr>
        <w:t xml:space="preserve"> v. Department of the Navy</w:t>
      </w:r>
      <w:r w:rsidRPr="00CC1958">
        <w:rPr>
          <w:rFonts w:ascii="Arial" w:eastAsia="Times New Roman" w:hAnsi="Arial" w:cs="Arial"/>
          <w:color w:val="000000"/>
          <w:sz w:val="20"/>
          <w:szCs w:val="20"/>
        </w:rPr>
        <w:t xml:space="preserve">, </w:t>
      </w:r>
      <w:hyperlink r:id="rId23" w:history="1">
        <w:r w:rsidRPr="00CC1958">
          <w:rPr>
            <w:rFonts w:ascii="Arial" w:eastAsia="Times New Roman" w:hAnsi="Arial" w:cs="Arial"/>
            <w:color w:val="0000FF"/>
            <w:sz w:val="20"/>
            <w:u w:val="single"/>
          </w:rPr>
          <w:t>86 FMSR 7023</w:t>
        </w:r>
      </w:hyperlink>
      <w:r w:rsidRPr="00CC1958">
        <w:rPr>
          <w:rFonts w:ascii="Arial" w:eastAsia="Times New Roman" w:hAnsi="Arial" w:cs="Arial"/>
          <w:color w:val="000000"/>
          <w:sz w:val="20"/>
          <w:szCs w:val="20"/>
        </w:rPr>
        <w:t>, 785 F.2d 286 (Fed. Cir. 1986).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Off-duty assault with a deadly weapon is sufficiently egregious to establish a rebuttable presumption of nexus. </w:t>
      </w:r>
      <w:r w:rsidRPr="00CC1958">
        <w:rPr>
          <w:rFonts w:ascii="Arial" w:eastAsia="Times New Roman" w:hAnsi="Arial" w:cs="Arial"/>
          <w:i/>
          <w:iCs/>
          <w:color w:val="000000"/>
          <w:sz w:val="20"/>
          <w:szCs w:val="20"/>
        </w:rPr>
        <w:t>Faint v. U.S. Postal Service</w:t>
      </w:r>
      <w:r w:rsidRPr="00CC1958">
        <w:rPr>
          <w:rFonts w:ascii="Arial" w:eastAsia="Times New Roman" w:hAnsi="Arial" w:cs="Arial"/>
          <w:color w:val="000000"/>
          <w:sz w:val="20"/>
          <w:szCs w:val="20"/>
        </w:rPr>
        <w:t xml:space="preserve">, </w:t>
      </w:r>
      <w:hyperlink r:id="rId24" w:history="1">
        <w:r w:rsidRPr="00CC1958">
          <w:rPr>
            <w:rFonts w:ascii="Arial" w:eastAsia="Times New Roman" w:hAnsi="Arial" w:cs="Arial"/>
            <w:color w:val="0000FF"/>
            <w:sz w:val="20"/>
            <w:u w:val="single"/>
          </w:rPr>
          <w:t>84 FMSR 5719</w:t>
        </w:r>
      </w:hyperlink>
      <w:r w:rsidRPr="00CC1958">
        <w:rPr>
          <w:rFonts w:ascii="Arial" w:eastAsia="Times New Roman" w:hAnsi="Arial" w:cs="Arial"/>
          <w:color w:val="000000"/>
          <w:sz w:val="20"/>
          <w:szCs w:val="20"/>
        </w:rPr>
        <w:t>, 22 MSPR 495 (MSPB 1984).</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When an agency establishes a rebuttable presumption of nexus based on the nature and gravity of an appellant's alleged violent, sexual criminal conduct, the fact that coworkers are unaware of the conduct will not rebut the presumption. </w:t>
      </w:r>
      <w:r w:rsidRPr="00CC1958">
        <w:rPr>
          <w:rFonts w:ascii="Arial" w:eastAsia="Times New Roman" w:hAnsi="Arial" w:cs="Arial"/>
          <w:i/>
          <w:iCs/>
          <w:color w:val="000000"/>
          <w:sz w:val="20"/>
          <w:szCs w:val="20"/>
        </w:rPr>
        <w:t>Johnson v. Department of Health and Human Services</w:t>
      </w:r>
      <w:r w:rsidRPr="00CC1958">
        <w:rPr>
          <w:rFonts w:ascii="Arial" w:eastAsia="Times New Roman" w:hAnsi="Arial" w:cs="Arial"/>
          <w:color w:val="000000"/>
          <w:sz w:val="20"/>
          <w:szCs w:val="20"/>
        </w:rPr>
        <w:t xml:space="preserve">, </w:t>
      </w:r>
      <w:hyperlink r:id="rId25" w:history="1">
        <w:r w:rsidRPr="00CC1958">
          <w:rPr>
            <w:rFonts w:ascii="Arial" w:eastAsia="Times New Roman" w:hAnsi="Arial" w:cs="Arial"/>
            <w:color w:val="0000FF"/>
            <w:sz w:val="20"/>
            <w:u w:val="single"/>
          </w:rPr>
          <w:t>84 FMSR 5699</w:t>
        </w:r>
      </w:hyperlink>
      <w:r w:rsidRPr="00CC1958">
        <w:rPr>
          <w:rFonts w:ascii="Arial" w:eastAsia="Times New Roman" w:hAnsi="Arial" w:cs="Arial"/>
          <w:color w:val="000000"/>
          <w:sz w:val="20"/>
          <w:szCs w:val="20"/>
        </w:rPr>
        <w:t>, 22 MSPR 521 (MSPB 1984).</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4"/>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Private indebtedness is not egregious misconduct sufficient to warrant a presumption of nexus. However, when the indebtedness involves the agency, a nexus can be established. </w:t>
      </w:r>
      <w:proofErr w:type="spellStart"/>
      <w:r w:rsidRPr="00CC1958">
        <w:rPr>
          <w:rFonts w:ascii="Arial" w:eastAsia="Times New Roman" w:hAnsi="Arial" w:cs="Arial"/>
          <w:i/>
          <w:iCs/>
          <w:color w:val="000000"/>
          <w:sz w:val="20"/>
          <w:szCs w:val="20"/>
        </w:rPr>
        <w:t>Vilt</w:t>
      </w:r>
      <w:proofErr w:type="spellEnd"/>
      <w:r w:rsidRPr="00CC1958">
        <w:rPr>
          <w:rFonts w:ascii="Arial" w:eastAsia="Times New Roman" w:hAnsi="Arial" w:cs="Arial"/>
          <w:i/>
          <w:iCs/>
          <w:color w:val="000000"/>
          <w:sz w:val="20"/>
          <w:szCs w:val="20"/>
        </w:rPr>
        <w:t xml:space="preserve"> v. Marshals Service</w:t>
      </w:r>
      <w:r w:rsidRPr="00CC1958">
        <w:rPr>
          <w:rFonts w:ascii="Arial" w:eastAsia="Times New Roman" w:hAnsi="Arial" w:cs="Arial"/>
          <w:color w:val="000000"/>
          <w:sz w:val="20"/>
          <w:szCs w:val="20"/>
        </w:rPr>
        <w:t xml:space="preserve">, </w:t>
      </w:r>
      <w:hyperlink r:id="rId26" w:history="1">
        <w:r w:rsidRPr="00CC1958">
          <w:rPr>
            <w:rFonts w:ascii="Arial" w:eastAsia="Times New Roman" w:hAnsi="Arial" w:cs="Arial"/>
            <w:color w:val="0000FF"/>
            <w:sz w:val="20"/>
            <w:u w:val="single"/>
          </w:rPr>
          <w:t>83 FMSR 7054</w:t>
        </w:r>
      </w:hyperlink>
      <w:r w:rsidRPr="00CC1958">
        <w:rPr>
          <w:rFonts w:ascii="Arial" w:eastAsia="Times New Roman" w:hAnsi="Arial" w:cs="Arial"/>
          <w:color w:val="000000"/>
          <w:sz w:val="20"/>
          <w:szCs w:val="20"/>
        </w:rPr>
        <w:t>, 16 MSPR 192 (MSPB 1983).</w:t>
      </w:r>
      <w:r w:rsidRPr="00CC1958">
        <w:rPr>
          <w:rFonts w:ascii="Arial" w:eastAsia="Times New Roman" w:hAnsi="Arial" w:cs="Arial"/>
          <w:color w:val="000000"/>
          <w:sz w:val="18"/>
          <w:szCs w:val="18"/>
        </w:rPr>
        <w:t xml:space="preserve"> </w:t>
      </w:r>
    </w:p>
    <w:p w:rsidR="00CC1958" w:rsidRPr="00CC1958" w:rsidRDefault="00CC1958" w:rsidP="00CC1958">
      <w:pPr>
        <w:spacing w:before="120" w:after="120" w:line="240" w:lineRule="auto"/>
        <w:rPr>
          <w:rFonts w:ascii="Times New Roman" w:eastAsia="Times New Roman" w:hAnsi="Times New Roman" w:cs="Times New Roman"/>
          <w:color w:val="000000"/>
          <w:sz w:val="24"/>
          <w:szCs w:val="24"/>
        </w:rPr>
      </w:pPr>
      <w:bookmarkStart w:id="6" w:name="Off_duty_misconduct_rebutting_the"/>
      <w:r w:rsidRPr="00CC1958">
        <w:rPr>
          <w:rFonts w:ascii="Arial" w:eastAsia="Times New Roman" w:hAnsi="Arial" w:cs="Arial"/>
          <w:b/>
          <w:bCs/>
          <w:color w:val="000000"/>
          <w:sz w:val="20"/>
          <w:szCs w:val="20"/>
        </w:rPr>
        <w:t>Off-duty misconduct - rebutting the presumption</w:t>
      </w:r>
      <w:bookmarkEnd w:id="6"/>
    </w:p>
    <w:p w:rsidR="00CC1958" w:rsidRPr="00CC1958" w:rsidRDefault="00CC1958" w:rsidP="00CC1958">
      <w:pPr>
        <w:numPr>
          <w:ilvl w:val="0"/>
          <w:numId w:val="5"/>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 employee may rebut the presumption of nexus by showing that his off-duty misconduct will not adversely affect his or his coworkers' performance or interfere with the agency's work. </w:t>
      </w:r>
      <w:proofErr w:type="spellStart"/>
      <w:r w:rsidRPr="00CC1958">
        <w:rPr>
          <w:rFonts w:ascii="Arial" w:eastAsia="Times New Roman" w:hAnsi="Arial" w:cs="Arial"/>
          <w:i/>
          <w:iCs/>
          <w:color w:val="000000"/>
          <w:sz w:val="20"/>
          <w:szCs w:val="20"/>
        </w:rPr>
        <w:t>Broadnax</w:t>
      </w:r>
      <w:proofErr w:type="spellEnd"/>
      <w:r w:rsidRPr="00CC1958">
        <w:rPr>
          <w:rFonts w:ascii="Arial" w:eastAsia="Times New Roman" w:hAnsi="Arial" w:cs="Arial"/>
          <w:i/>
          <w:iCs/>
          <w:color w:val="000000"/>
          <w:sz w:val="20"/>
          <w:szCs w:val="20"/>
        </w:rPr>
        <w:t xml:space="preserve"> v. U.S. Postal Service</w:t>
      </w:r>
      <w:r w:rsidRPr="00CC1958">
        <w:rPr>
          <w:rFonts w:ascii="Arial" w:eastAsia="Times New Roman" w:hAnsi="Arial" w:cs="Arial"/>
          <w:color w:val="000000"/>
          <w:sz w:val="20"/>
          <w:szCs w:val="20"/>
        </w:rPr>
        <w:t xml:space="preserve">, </w:t>
      </w:r>
      <w:hyperlink r:id="rId27" w:history="1">
        <w:r w:rsidRPr="00CC1958">
          <w:rPr>
            <w:rFonts w:ascii="Arial" w:eastAsia="Times New Roman" w:hAnsi="Arial" w:cs="Arial"/>
            <w:color w:val="0000FF"/>
            <w:sz w:val="20"/>
            <w:u w:val="single"/>
          </w:rPr>
          <w:t>84 FMSR 5987</w:t>
        </w:r>
      </w:hyperlink>
      <w:r w:rsidRPr="00CC1958">
        <w:rPr>
          <w:rFonts w:ascii="Arial" w:eastAsia="Times New Roman" w:hAnsi="Arial" w:cs="Arial"/>
          <w:color w:val="000000"/>
          <w:sz w:val="20"/>
          <w:szCs w:val="20"/>
        </w:rPr>
        <w:t>, 24 MSPR 319 (MSPB 1984).</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5"/>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Statements from coworkers in support of an employee and evidence of the employee's continued good performance can serve as rebuttal to a presumed nexus. However, they do not necessarily outweigh management's apprehension about the effect of the employee's continued employment on the efficiency of the service and the public's perception of the agency. </w:t>
      </w:r>
      <w:r w:rsidRPr="00CC1958">
        <w:rPr>
          <w:rFonts w:ascii="Arial" w:eastAsia="Times New Roman" w:hAnsi="Arial" w:cs="Arial"/>
          <w:i/>
          <w:iCs/>
          <w:color w:val="000000"/>
          <w:sz w:val="20"/>
          <w:szCs w:val="20"/>
        </w:rPr>
        <w:t>Jordan v. Department of the Air Force</w:t>
      </w:r>
      <w:r w:rsidRPr="00CC1958">
        <w:rPr>
          <w:rFonts w:ascii="Arial" w:eastAsia="Times New Roman" w:hAnsi="Arial" w:cs="Arial"/>
          <w:color w:val="000000"/>
          <w:sz w:val="20"/>
          <w:szCs w:val="20"/>
        </w:rPr>
        <w:t xml:space="preserve">, </w:t>
      </w:r>
      <w:hyperlink r:id="rId28" w:history="1">
        <w:r w:rsidRPr="00CC1958">
          <w:rPr>
            <w:rFonts w:ascii="Arial" w:eastAsia="Times New Roman" w:hAnsi="Arial" w:cs="Arial"/>
            <w:color w:val="0000FF"/>
            <w:sz w:val="20"/>
            <w:u w:val="single"/>
          </w:rPr>
          <w:t>88 FMSR 5130</w:t>
        </w:r>
      </w:hyperlink>
      <w:r w:rsidRPr="00CC1958">
        <w:rPr>
          <w:rFonts w:ascii="Arial" w:eastAsia="Times New Roman" w:hAnsi="Arial" w:cs="Arial"/>
          <w:color w:val="000000"/>
          <w:sz w:val="20"/>
          <w:szCs w:val="20"/>
        </w:rPr>
        <w:t>, 36 MSPR 409 (MSPB 1988).</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5"/>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If an employee successfully rebuts the presumption of nexus, the agency has an opportunity to prove the existence of nexus through evidence such as testimony from supervisors regarding their loss of confidence in the appellant or negative publicity. </w:t>
      </w:r>
      <w:r w:rsidRPr="00CC1958">
        <w:rPr>
          <w:rFonts w:ascii="Arial" w:eastAsia="Times New Roman" w:hAnsi="Arial" w:cs="Arial"/>
          <w:i/>
          <w:iCs/>
          <w:color w:val="000000"/>
          <w:sz w:val="20"/>
          <w:szCs w:val="20"/>
        </w:rPr>
        <w:t>Honeycutt v. Department of Labor</w:t>
      </w:r>
      <w:r w:rsidRPr="00CC1958">
        <w:rPr>
          <w:rFonts w:ascii="Arial" w:eastAsia="Times New Roman" w:hAnsi="Arial" w:cs="Arial"/>
          <w:color w:val="000000"/>
          <w:sz w:val="20"/>
          <w:szCs w:val="20"/>
        </w:rPr>
        <w:t xml:space="preserve">, </w:t>
      </w:r>
      <w:hyperlink r:id="rId29" w:history="1">
        <w:r w:rsidRPr="00CC1958">
          <w:rPr>
            <w:rFonts w:ascii="Arial" w:eastAsia="Times New Roman" w:hAnsi="Arial" w:cs="Arial"/>
            <w:color w:val="0000FF"/>
            <w:sz w:val="20"/>
            <w:u w:val="single"/>
          </w:rPr>
          <w:t>84 FMSR 5720</w:t>
        </w:r>
      </w:hyperlink>
      <w:r w:rsidRPr="00CC1958">
        <w:rPr>
          <w:rFonts w:ascii="Arial" w:eastAsia="Times New Roman" w:hAnsi="Arial" w:cs="Arial"/>
          <w:color w:val="000000"/>
          <w:sz w:val="20"/>
          <w:szCs w:val="20"/>
        </w:rPr>
        <w:t>, 22 MSPR 491 (MSPB 1984).</w:t>
      </w:r>
      <w:r w:rsidRPr="00CC1958">
        <w:rPr>
          <w:rFonts w:ascii="Arial" w:eastAsia="Times New Roman" w:hAnsi="Arial" w:cs="Arial"/>
          <w:color w:val="000000"/>
          <w:sz w:val="18"/>
          <w:szCs w:val="18"/>
        </w:rPr>
        <w:t xml:space="preserve"> </w:t>
      </w:r>
    </w:p>
    <w:p w:rsidR="00CC1958" w:rsidRPr="00CC1958" w:rsidRDefault="00CC1958" w:rsidP="00CC1958">
      <w:pPr>
        <w:spacing w:before="100" w:beforeAutospacing="1" w:after="100" w:afterAutospacing="1" w:line="240" w:lineRule="auto"/>
        <w:rPr>
          <w:rFonts w:ascii="Times New Roman" w:eastAsia="Times New Roman" w:hAnsi="Times New Roman" w:cs="Times New Roman"/>
          <w:color w:val="000000"/>
          <w:sz w:val="24"/>
          <w:szCs w:val="24"/>
        </w:rPr>
      </w:pPr>
      <w:bookmarkStart w:id="7" w:name="Off_duty_misconduct_case_examples"/>
      <w:r w:rsidRPr="00CC1958">
        <w:rPr>
          <w:rFonts w:ascii="Arial" w:eastAsia="Times New Roman" w:hAnsi="Arial" w:cs="Arial"/>
          <w:b/>
          <w:bCs/>
          <w:color w:val="000000"/>
          <w:sz w:val="20"/>
          <w:szCs w:val="20"/>
        </w:rPr>
        <w:t>Off-duty misconduct - case examples</w:t>
      </w:r>
      <w:bookmarkEnd w:id="7"/>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The requisite nexus was established where an appellant failed to maintain access to an agency computer system due to his personal debt issues. </w:t>
      </w:r>
      <w:r w:rsidRPr="00CC1958">
        <w:rPr>
          <w:rFonts w:ascii="Arial" w:eastAsia="Times New Roman" w:hAnsi="Arial" w:cs="Arial"/>
          <w:i/>
          <w:iCs/>
          <w:color w:val="000000"/>
          <w:sz w:val="20"/>
          <w:szCs w:val="20"/>
        </w:rPr>
        <w:t>Adams v. Department of the Army</w:t>
      </w:r>
      <w:r w:rsidRPr="00CC1958">
        <w:rPr>
          <w:rFonts w:ascii="Arial" w:eastAsia="Times New Roman" w:hAnsi="Arial" w:cs="Arial"/>
          <w:color w:val="000000"/>
          <w:sz w:val="20"/>
          <w:szCs w:val="20"/>
        </w:rPr>
        <w:t>, 107 LRP 10720, 105 MSPR 50 (MSPB 2007).</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lastRenderedPageBreak/>
        <w:t xml:space="preserve">Where an appellant engaged in criminal or dishonest conduct of a serious nature, and her position required credibility generally and was tied to the agency's interest in maintaining the public trust, there was a nexus between drug-related charges against the appellant and her position. </w:t>
      </w:r>
      <w:r w:rsidRPr="00CC1958">
        <w:rPr>
          <w:rFonts w:ascii="Arial" w:eastAsia="Times New Roman" w:hAnsi="Arial" w:cs="Arial"/>
          <w:i/>
          <w:iCs/>
          <w:color w:val="000000"/>
          <w:sz w:val="20"/>
          <w:szCs w:val="20"/>
        </w:rPr>
        <w:t>Doerr v. Office of Personnel Management</w:t>
      </w:r>
      <w:r w:rsidRPr="00CC1958">
        <w:rPr>
          <w:rFonts w:ascii="Arial" w:eastAsia="Times New Roman" w:hAnsi="Arial" w:cs="Arial"/>
          <w:color w:val="000000"/>
          <w:sz w:val="20"/>
          <w:szCs w:val="20"/>
        </w:rPr>
        <w:t>, 106 LRP 70443, 104 MSPR 196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Where an FBI special agent videotaped his sexual activities with three women -- two of whom were FBI employees -- without their knowledge or consent, the agency established the required nexus. The FBI had the right to hold its special agents to a high standard of conduct. The appellant's failure to live up to this standard adversely affected his division's operations and caused the agency to lose trust and confidence in him. </w:t>
      </w:r>
      <w:r w:rsidRPr="00CC1958">
        <w:rPr>
          <w:rFonts w:ascii="Arial" w:eastAsia="Times New Roman" w:hAnsi="Arial" w:cs="Arial"/>
          <w:i/>
          <w:iCs/>
          <w:color w:val="000000"/>
          <w:sz w:val="20"/>
          <w:szCs w:val="20"/>
        </w:rPr>
        <w:t>Doe v. Department of Justice</w:t>
      </w:r>
      <w:r w:rsidRPr="00CC1958">
        <w:rPr>
          <w:rFonts w:ascii="Arial" w:eastAsia="Times New Roman" w:hAnsi="Arial" w:cs="Arial"/>
          <w:color w:val="000000"/>
          <w:sz w:val="20"/>
          <w:szCs w:val="20"/>
        </w:rPr>
        <w:t>, 106 LRP 48614, 103 MSPR 135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 nexus existed where the charge that was sustained -- violation of the zero-tolerance policy on violence in the workplace -- was serious and adversely impacted the agency's mission of providing service to its customers and a safe environment for its employees. </w:t>
      </w:r>
      <w:r w:rsidRPr="00CC1958">
        <w:rPr>
          <w:rFonts w:ascii="Arial" w:eastAsia="Times New Roman" w:hAnsi="Arial" w:cs="Arial"/>
          <w:i/>
          <w:iCs/>
          <w:color w:val="000000"/>
          <w:sz w:val="20"/>
          <w:szCs w:val="20"/>
        </w:rPr>
        <w:t>Wiley v. U.S. Postal Service</w:t>
      </w:r>
      <w:r w:rsidRPr="00CC1958">
        <w:rPr>
          <w:rFonts w:ascii="Arial" w:eastAsia="Times New Roman" w:hAnsi="Arial" w:cs="Arial"/>
          <w:color w:val="000000"/>
          <w:sz w:val="20"/>
          <w:szCs w:val="20"/>
        </w:rPr>
        <w:t>, 106 LRP 41624, 102 MSPR 535 (MSPB 2006).</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The nexus between the misconduct of a Border Patrol agent and the efficiency of the service was readily apparent where the appellant twice posted bond for a young woman living in his home who was arrested and indicted for felony cocaine possession. The Border Patrol Handbook stated that "patrol agents should avoid all associations or places that may degrade them or their positions in the eyes of the public." </w:t>
      </w:r>
      <w:r w:rsidRPr="00CC1958">
        <w:rPr>
          <w:rFonts w:ascii="Arial" w:eastAsia="Times New Roman" w:hAnsi="Arial" w:cs="Arial"/>
          <w:i/>
          <w:iCs/>
          <w:color w:val="000000"/>
          <w:sz w:val="20"/>
          <w:szCs w:val="20"/>
        </w:rPr>
        <w:t>Office of Personnel Management v. Dale</w:t>
      </w:r>
      <w:r w:rsidRPr="00CC1958">
        <w:rPr>
          <w:rFonts w:ascii="Arial" w:eastAsia="Times New Roman" w:hAnsi="Arial" w:cs="Arial"/>
          <w:color w:val="000000"/>
          <w:sz w:val="20"/>
          <w:szCs w:val="20"/>
        </w:rPr>
        <w:t>, 104 LRP 4027, 355 F.3d 1375 (Fed. Cir. 2004).</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An appellant's off-duty misconduct of switching price tags on merchandise and purchasing and attempting to purchase the merchandise at a reduced price established that she compromised the agency's trust in her ability to function in her high-level management position in which she had fiduciary responsibilities for up to $25,000. The agency proved a nexus between the appellant's criminal misconduct and her position. </w:t>
      </w:r>
      <w:proofErr w:type="spellStart"/>
      <w:r w:rsidRPr="00CC1958">
        <w:rPr>
          <w:rFonts w:ascii="Arial" w:eastAsia="Times New Roman" w:hAnsi="Arial" w:cs="Arial"/>
          <w:i/>
          <w:iCs/>
          <w:color w:val="000000"/>
          <w:sz w:val="20"/>
          <w:szCs w:val="20"/>
        </w:rPr>
        <w:t>Stuhlmacher</w:t>
      </w:r>
      <w:proofErr w:type="spellEnd"/>
      <w:r w:rsidRPr="00CC1958">
        <w:rPr>
          <w:rFonts w:ascii="Arial" w:eastAsia="Times New Roman" w:hAnsi="Arial" w:cs="Arial"/>
          <w:i/>
          <w:iCs/>
          <w:color w:val="000000"/>
          <w:sz w:val="20"/>
          <w:szCs w:val="20"/>
        </w:rPr>
        <w:t xml:space="preserve"> v. U.S. Postal Service</w:t>
      </w:r>
      <w:r w:rsidRPr="00CC1958">
        <w:rPr>
          <w:rFonts w:ascii="Arial" w:eastAsia="Times New Roman" w:hAnsi="Arial" w:cs="Arial"/>
          <w:color w:val="000000"/>
          <w:sz w:val="20"/>
          <w:szCs w:val="20"/>
        </w:rPr>
        <w:t>, 101 FMSR 5347, 89 MSPR 272 (MSPB 2001).</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A sufficient nexus was established where an area program manager for the Morale, Welfare, and Recreation Department at a Marine Corps base engaged in an adulterous relationship with the wife of a Marine major assigned to a unit supported by the appellant while the major was deployed overseas. </w:t>
      </w:r>
      <w:r w:rsidRPr="00CC1958">
        <w:rPr>
          <w:rFonts w:ascii="Arial" w:eastAsia="Times New Roman" w:hAnsi="Arial" w:cs="Arial"/>
          <w:i/>
          <w:iCs/>
          <w:color w:val="000000"/>
          <w:sz w:val="20"/>
          <w:szCs w:val="20"/>
        </w:rPr>
        <w:t>Brown v. Department of the Navy</w:t>
      </w:r>
      <w:r w:rsidRPr="00CC1958">
        <w:rPr>
          <w:rFonts w:ascii="Arial" w:eastAsia="Times New Roman" w:hAnsi="Arial" w:cs="Arial"/>
          <w:color w:val="000000"/>
          <w:sz w:val="20"/>
          <w:szCs w:val="20"/>
        </w:rPr>
        <w:t>, 101 FMSR 7002, 229 F.3d 1356 (Fed. Cir. 2000).</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Publicity about an appellant's off-duty criminal misconduct that identifies him as an agency employee can adversely affect the agency's reputation and its dealings with the public and can serve as proof of nexus. </w:t>
      </w:r>
      <w:r w:rsidRPr="00CC1958">
        <w:rPr>
          <w:rFonts w:ascii="Arial" w:eastAsia="Times New Roman" w:hAnsi="Arial" w:cs="Arial"/>
          <w:i/>
          <w:iCs/>
          <w:color w:val="000000"/>
          <w:sz w:val="20"/>
          <w:szCs w:val="20"/>
        </w:rPr>
        <w:t>Graham v. U.S. Postal Service</w:t>
      </w:r>
      <w:r w:rsidRPr="00CC1958">
        <w:rPr>
          <w:rFonts w:ascii="Arial" w:eastAsia="Times New Roman" w:hAnsi="Arial" w:cs="Arial"/>
          <w:color w:val="000000"/>
          <w:sz w:val="20"/>
          <w:szCs w:val="20"/>
        </w:rPr>
        <w:t xml:space="preserve">, </w:t>
      </w:r>
      <w:hyperlink r:id="rId30" w:history="1">
        <w:r w:rsidRPr="00CC1958">
          <w:rPr>
            <w:rFonts w:ascii="Arial" w:eastAsia="Times New Roman" w:hAnsi="Arial" w:cs="Arial"/>
            <w:color w:val="0000FF"/>
            <w:sz w:val="20"/>
            <w:u w:val="single"/>
          </w:rPr>
          <w:t>91 FMSR 5439</w:t>
        </w:r>
      </w:hyperlink>
      <w:r w:rsidRPr="00CC1958">
        <w:rPr>
          <w:rFonts w:ascii="Arial" w:eastAsia="Times New Roman" w:hAnsi="Arial" w:cs="Arial"/>
          <w:color w:val="000000"/>
          <w:sz w:val="20"/>
          <w:szCs w:val="20"/>
        </w:rPr>
        <w:t>, 49 MSPR 364 (MSPB 1991).</w:t>
      </w:r>
      <w:r w:rsidRPr="00CC1958">
        <w:rPr>
          <w:rFonts w:ascii="Arial" w:eastAsia="Times New Roman" w:hAnsi="Arial" w:cs="Arial"/>
          <w:color w:val="000000"/>
          <w:sz w:val="18"/>
          <w:szCs w:val="18"/>
        </w:rPr>
        <w:t xml:space="preserve"> </w:t>
      </w:r>
    </w:p>
    <w:p w:rsidR="00CC1958" w:rsidRPr="00CC1958" w:rsidRDefault="00CC1958" w:rsidP="00CC1958">
      <w:pPr>
        <w:numPr>
          <w:ilvl w:val="0"/>
          <w:numId w:val="6"/>
        </w:numPr>
        <w:spacing w:before="120" w:after="120" w:line="240" w:lineRule="auto"/>
        <w:ind w:left="765"/>
        <w:rPr>
          <w:rFonts w:ascii="Arial" w:eastAsia="Times New Roman" w:hAnsi="Arial" w:cs="Arial"/>
          <w:color w:val="000000"/>
          <w:sz w:val="18"/>
          <w:szCs w:val="18"/>
        </w:rPr>
      </w:pPr>
      <w:r w:rsidRPr="00CC1958">
        <w:rPr>
          <w:rFonts w:ascii="Arial" w:eastAsia="Times New Roman" w:hAnsi="Arial" w:cs="Arial"/>
          <w:color w:val="000000"/>
          <w:sz w:val="20"/>
          <w:szCs w:val="20"/>
        </w:rPr>
        <w:t xml:space="preserve">When off-duty misconduct occurs in a small community, adverse publicity can have a greater effect on the agency's reputation than it might in a large city, and therefore it is evidence bearing upon nexus. </w:t>
      </w:r>
      <w:proofErr w:type="spellStart"/>
      <w:r w:rsidRPr="00CC1958">
        <w:rPr>
          <w:rFonts w:ascii="Arial" w:eastAsia="Times New Roman" w:hAnsi="Arial" w:cs="Arial"/>
          <w:i/>
          <w:iCs/>
          <w:color w:val="000000"/>
          <w:sz w:val="20"/>
          <w:szCs w:val="20"/>
        </w:rPr>
        <w:t>Stines</w:t>
      </w:r>
      <w:proofErr w:type="spellEnd"/>
      <w:r w:rsidRPr="00CC1958">
        <w:rPr>
          <w:rFonts w:ascii="Arial" w:eastAsia="Times New Roman" w:hAnsi="Arial" w:cs="Arial"/>
          <w:i/>
          <w:iCs/>
          <w:color w:val="000000"/>
          <w:sz w:val="20"/>
          <w:szCs w:val="20"/>
        </w:rPr>
        <w:t xml:space="preserve"> v. Department of Justice</w:t>
      </w:r>
      <w:r w:rsidRPr="00CC1958">
        <w:rPr>
          <w:rFonts w:ascii="Arial" w:eastAsia="Times New Roman" w:hAnsi="Arial" w:cs="Arial"/>
          <w:color w:val="000000"/>
          <w:sz w:val="20"/>
          <w:szCs w:val="20"/>
        </w:rPr>
        <w:t xml:space="preserve">, </w:t>
      </w:r>
      <w:hyperlink r:id="rId31" w:history="1">
        <w:r w:rsidRPr="00CC1958">
          <w:rPr>
            <w:rFonts w:ascii="Arial" w:eastAsia="Times New Roman" w:hAnsi="Arial" w:cs="Arial"/>
            <w:color w:val="0000FF"/>
            <w:sz w:val="20"/>
            <w:u w:val="single"/>
          </w:rPr>
          <w:t>84 FMSR 5714</w:t>
        </w:r>
      </w:hyperlink>
      <w:r w:rsidRPr="00CC1958">
        <w:rPr>
          <w:rFonts w:ascii="Arial" w:eastAsia="Times New Roman" w:hAnsi="Arial" w:cs="Arial"/>
          <w:color w:val="000000"/>
          <w:sz w:val="20"/>
          <w:szCs w:val="20"/>
        </w:rPr>
        <w:t>, 22 MSPR 511 (MSPB 1984).</w:t>
      </w:r>
      <w:r w:rsidRPr="00CC1958">
        <w:rPr>
          <w:rFonts w:ascii="Arial" w:eastAsia="Times New Roman" w:hAnsi="Arial" w:cs="Arial"/>
          <w:color w:val="000000"/>
          <w:sz w:val="18"/>
          <w:szCs w:val="18"/>
        </w:rPr>
        <w:t xml:space="preserve"> </w:t>
      </w:r>
    </w:p>
    <w:p w:rsidR="008D1E67" w:rsidRDefault="008D1E67"/>
    <w:sectPr w:rsidR="008D1E67" w:rsidSect="008D1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141"/>
    <w:multiLevelType w:val="multilevel"/>
    <w:tmpl w:val="4E0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5657C"/>
    <w:multiLevelType w:val="multilevel"/>
    <w:tmpl w:val="19D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771E58"/>
    <w:multiLevelType w:val="multilevel"/>
    <w:tmpl w:val="A4D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8445D1"/>
    <w:multiLevelType w:val="multilevel"/>
    <w:tmpl w:val="331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0A55D9"/>
    <w:multiLevelType w:val="multilevel"/>
    <w:tmpl w:val="61B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2F4039"/>
    <w:multiLevelType w:val="multilevel"/>
    <w:tmpl w:val="AEF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1958"/>
    <w:rsid w:val="008D1E67"/>
    <w:rsid w:val="00CC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958"/>
    <w:rPr>
      <w:color w:val="0000FF"/>
      <w:u w:val="single"/>
    </w:rPr>
  </w:style>
  <w:style w:type="paragraph" w:styleId="NormalWeb">
    <w:name w:val="Normal (Web)"/>
    <w:basedOn w:val="Normal"/>
    <w:uiPriority w:val="99"/>
    <w:unhideWhenUsed/>
    <w:rsid w:val="00CC1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912319">
      <w:bodyDiv w:val="1"/>
      <w:marLeft w:val="0"/>
      <w:marRight w:val="0"/>
      <w:marTop w:val="0"/>
      <w:marBottom w:val="0"/>
      <w:divBdr>
        <w:top w:val="none" w:sz="0" w:space="0" w:color="auto"/>
        <w:left w:val="none" w:sz="0" w:space="0" w:color="auto"/>
        <w:bottom w:val="none" w:sz="0" w:space="0" w:color="auto"/>
        <w:right w:val="none" w:sz="0" w:space="0" w:color="auto"/>
      </w:divBdr>
      <w:divsChild>
        <w:div w:id="402141834">
          <w:marLeft w:val="45"/>
          <w:marRight w:val="0"/>
          <w:marTop w:val="0"/>
          <w:marBottom w:val="0"/>
          <w:divBdr>
            <w:top w:val="none" w:sz="0" w:space="0" w:color="auto"/>
            <w:left w:val="none" w:sz="0" w:space="0" w:color="auto"/>
            <w:bottom w:val="none" w:sz="0" w:space="0" w:color="auto"/>
            <w:right w:val="none" w:sz="0" w:space="0" w:color="auto"/>
          </w:divBdr>
          <w:divsChild>
            <w:div w:id="1923172574">
              <w:marLeft w:val="0"/>
              <w:marRight w:val="0"/>
              <w:marTop w:val="0"/>
              <w:marBottom w:val="0"/>
              <w:divBdr>
                <w:top w:val="none" w:sz="0" w:space="0" w:color="auto"/>
                <w:left w:val="none" w:sz="0" w:space="0" w:color="auto"/>
                <w:bottom w:val="none" w:sz="0" w:space="0" w:color="auto"/>
                <w:right w:val="none" w:sz="0" w:space="0" w:color="auto"/>
              </w:divBdr>
              <w:divsChild>
                <w:div w:id="1803228458">
                  <w:marLeft w:val="0"/>
                  <w:marRight w:val="0"/>
                  <w:marTop w:val="0"/>
                  <w:marBottom w:val="0"/>
                  <w:divBdr>
                    <w:top w:val="none" w:sz="0" w:space="0" w:color="auto"/>
                    <w:left w:val="none" w:sz="0" w:space="0" w:color="auto"/>
                    <w:bottom w:val="none" w:sz="0" w:space="0" w:color="auto"/>
                    <w:right w:val="none" w:sz="0" w:space="0" w:color="auto"/>
                  </w:divBdr>
                  <w:divsChild>
                    <w:div w:id="1449622783">
                      <w:marLeft w:val="0"/>
                      <w:marRight w:val="0"/>
                      <w:marTop w:val="0"/>
                      <w:marBottom w:val="0"/>
                      <w:divBdr>
                        <w:top w:val="none" w:sz="0" w:space="0" w:color="auto"/>
                        <w:left w:val="none" w:sz="0" w:space="0" w:color="auto"/>
                        <w:bottom w:val="none" w:sz="0" w:space="0" w:color="auto"/>
                        <w:right w:val="none" w:sz="0" w:space="0" w:color="auto"/>
                      </w:divBdr>
                      <w:divsChild>
                        <w:div w:id="2088456513">
                          <w:marLeft w:val="0"/>
                          <w:marRight w:val="0"/>
                          <w:marTop w:val="0"/>
                          <w:marBottom w:val="0"/>
                          <w:divBdr>
                            <w:top w:val="none" w:sz="0" w:space="0" w:color="auto"/>
                            <w:left w:val="none" w:sz="0" w:space="0" w:color="auto"/>
                            <w:bottom w:val="none" w:sz="0" w:space="0" w:color="auto"/>
                            <w:right w:val="none" w:sz="0" w:space="0" w:color="auto"/>
                          </w:divBdr>
                          <w:divsChild>
                            <w:div w:id="1671712213">
                              <w:marLeft w:val="0"/>
                              <w:marRight w:val="0"/>
                              <w:marTop w:val="0"/>
                              <w:marBottom w:val="0"/>
                              <w:divBdr>
                                <w:top w:val="none" w:sz="0" w:space="0" w:color="auto"/>
                                <w:left w:val="none" w:sz="0" w:space="0" w:color="auto"/>
                                <w:bottom w:val="none" w:sz="0" w:space="0" w:color="auto"/>
                                <w:right w:val="none" w:sz="0" w:space="0" w:color="auto"/>
                              </w:divBdr>
                              <w:divsChild>
                                <w:div w:id="1408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CFSearchAll?searchstring=%7BMerritt+and+Presumptions+of+Nexus%7D+within+doctitle&amp;searchscreen=%2FCF3%2Fadvmspbsearch.jsp&amp;destination=index.jsp%3Ftopic%3DMain%26results%3Dyes&amp;db=BROIDA_MSPB&amp;thesaurus=yes&amp;sortorder=document&amp;results=20&amp;doctype=&amp;restrictors=doctype&amp;topic=Main" TargetMode="External"/><Relationship Id="rId13" Type="http://schemas.openxmlformats.org/officeDocument/2006/relationships/hyperlink" Target="http://www.cyberfeds.com/CF3/servlet/GetCase?cite=84+FMSR+5714" TargetMode="External"/><Relationship Id="rId18" Type="http://schemas.openxmlformats.org/officeDocument/2006/relationships/hyperlink" Target="http://www.cyberfeds.com/CF3/servlet/GetDocByTitle?doctitle=Section+B:+Specific+Nexus+Determinations,+Subsection+05:+Off-Duty+Actions+on+Agency+Premises" TargetMode="External"/><Relationship Id="rId26" Type="http://schemas.openxmlformats.org/officeDocument/2006/relationships/hyperlink" Target="http://www.cyberfeds.com/CF3/servlet/GetCase?cite=83+FMSR+7054" TargetMode="External"/><Relationship Id="rId3" Type="http://schemas.openxmlformats.org/officeDocument/2006/relationships/settings" Target="settings.xml"/><Relationship Id="rId21" Type="http://schemas.openxmlformats.org/officeDocument/2006/relationships/hyperlink" Target="http://www.cyberfeds.com/CF3/servlet/GetCase?cite=86+FMSR+7028" TargetMode="External"/><Relationship Id="rId7" Type="http://schemas.openxmlformats.org/officeDocument/2006/relationships/hyperlink" Target="http://www.cyberfeds.com/CF3/servlet/CFSearchAll?searchstring=%7BConcept+of+Nexus%7D+within+doctitle&amp;searchscreen=%2FCF3%2Fadvmspbsearch.jsp&amp;destination=index.jsp%3Ftopic%3DMain%26results%3Dyes&amp;db=BROIDA_MSPB&amp;thesaurus=yes&amp;sortorder=document&amp;results=20&amp;doctype=&amp;restrictors=doctype&amp;topic=Main" TargetMode="External"/><Relationship Id="rId12" Type="http://schemas.openxmlformats.org/officeDocument/2006/relationships/hyperlink" Target="http://www.cyberfeds.com/CF3/servlet/GetCase?cite=86+FMSR+7028" TargetMode="External"/><Relationship Id="rId17" Type="http://schemas.openxmlformats.org/officeDocument/2006/relationships/hyperlink" Target="http://www.cyberfeds.com/CF3/servlet/GetDocByTitle?doctitle=Section+B:+Specific+Nexus+Determinations,+Subsection+05:+Off-Duty+Actions+on+Agency+Premises" TargetMode="External"/><Relationship Id="rId25" Type="http://schemas.openxmlformats.org/officeDocument/2006/relationships/hyperlink" Target="http://www.cyberfeds.com/CF3/servlet/GetCase?cite=84+FMSR+569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yberfeds.com/CF3/servlet/GetCase?cite=93+FMSR+5310" TargetMode="External"/><Relationship Id="rId20" Type="http://schemas.openxmlformats.org/officeDocument/2006/relationships/hyperlink" Target="http://www.cyberfeds.com/CF3/servlet/GetCase?cite=93+FMSR+5425" TargetMode="External"/><Relationship Id="rId29" Type="http://schemas.openxmlformats.org/officeDocument/2006/relationships/hyperlink" Target="http://www.cyberfeds.com/CF3/servlet/GetCase?cite=84+FMSR+5720" TargetMode="External"/><Relationship Id="rId1" Type="http://schemas.openxmlformats.org/officeDocument/2006/relationships/numbering" Target="numbering.xml"/><Relationship Id="rId6" Type="http://schemas.openxmlformats.org/officeDocument/2006/relationships/hyperlink" Target="http://www.cyberfeds.com/CF3/servlet/GetCase?cite=87+FMSR+7013" TargetMode="External"/><Relationship Id="rId11" Type="http://schemas.openxmlformats.org/officeDocument/2006/relationships/hyperlink" Target="http://www.cyberfeds.com/CF3/servlet/GetCase?cite=92+FMSR+5032" TargetMode="External"/><Relationship Id="rId24" Type="http://schemas.openxmlformats.org/officeDocument/2006/relationships/hyperlink" Target="http://www.cyberfeds.com/CF3/servlet/GetCase?cite=84+FMSR+5719" TargetMode="External"/><Relationship Id="rId32" Type="http://schemas.openxmlformats.org/officeDocument/2006/relationships/fontTable" Target="fontTable.xml"/><Relationship Id="rId5" Type="http://schemas.openxmlformats.org/officeDocument/2006/relationships/hyperlink" Target="http://www.cyberfeds.com/CF3/servlet/GetReg?cite=5+USC+7513" TargetMode="External"/><Relationship Id="rId15" Type="http://schemas.openxmlformats.org/officeDocument/2006/relationships/hyperlink" Target="http://www.cyberfeds.com/CF3/servlet/GetCase?cite=87+FMSR+5004" TargetMode="External"/><Relationship Id="rId23" Type="http://schemas.openxmlformats.org/officeDocument/2006/relationships/hyperlink" Target="http://www.cyberfeds.com/CF3/servlet/GetCase?cite=86+FMSR+7023" TargetMode="External"/><Relationship Id="rId28" Type="http://schemas.openxmlformats.org/officeDocument/2006/relationships/hyperlink" Target="http://www.cyberfeds.com/CF3/servlet/GetCase?cite=88+FMSR+5130" TargetMode="External"/><Relationship Id="rId10" Type="http://schemas.openxmlformats.org/officeDocument/2006/relationships/hyperlink" Target="http://www.cyberfeds.com/CF3/servlet/GetCase?cite=97+FMSR+7004" TargetMode="External"/><Relationship Id="rId19" Type="http://schemas.openxmlformats.org/officeDocument/2006/relationships/hyperlink" Target="http://www.cyberfeds.com/CF3/servlet/GetDocByTitle?doctitle=Section+B:+Specific+Nexus+Determinations,+Subsection+07:+Fraud+and+Theft,+Part+A:+Off-Duty+Offenses" TargetMode="External"/><Relationship Id="rId31" Type="http://schemas.openxmlformats.org/officeDocument/2006/relationships/hyperlink" Target="http://www.cyberfeds.com/CF3/servlet/GetCase?cite=84+FMSR+5714" TargetMode="External"/><Relationship Id="rId4" Type="http://schemas.openxmlformats.org/officeDocument/2006/relationships/webSettings" Target="webSettings.xml"/><Relationship Id="rId9" Type="http://schemas.openxmlformats.org/officeDocument/2006/relationships/hyperlink" Target="http://www.cyberfeds.com/CF3/servlet/GetCase?cite=95+FMSR+5061" TargetMode="External"/><Relationship Id="rId14" Type="http://schemas.openxmlformats.org/officeDocument/2006/relationships/hyperlink" Target="http://www.cyberfeds.com/CF3/servlet/GetCase?cite=87+FMSR+5004" TargetMode="External"/><Relationship Id="rId22" Type="http://schemas.openxmlformats.org/officeDocument/2006/relationships/hyperlink" Target="http://www.cyberfeds.com/CF3/servlet/GetCase?cite=86+FMSR+7080" TargetMode="External"/><Relationship Id="rId27" Type="http://schemas.openxmlformats.org/officeDocument/2006/relationships/hyperlink" Target="http://www.cyberfeds.com/CF3/servlet/GetCase?cite=84+FMSR+5987" TargetMode="External"/><Relationship Id="rId30" Type="http://schemas.openxmlformats.org/officeDocument/2006/relationships/hyperlink" Target="http://www.cyberfeds.com/CF3/servlet/GetCase?cite=91+FMSR+5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2445</Words>
  <Characters>13940</Characters>
  <Application>Microsoft Office Word</Application>
  <DocSecurity>0</DocSecurity>
  <Lines>116</Lines>
  <Paragraphs>32</Paragraphs>
  <ScaleCrop>false</ScaleCrop>
  <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2012-03-16T19:17:00Z</dcterms:created>
  <dcterms:modified xsi:type="dcterms:W3CDTF">2012-03-16T19:17:00Z</dcterms:modified>
</cp:coreProperties>
</file>